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D0" w:rsidRPr="00A25BC7" w:rsidRDefault="00FA7BD0" w:rsidP="00FA7BD0">
      <w:pPr>
        <w:pStyle w:val="Titulnstrana"/>
        <w:jc w:val="right"/>
      </w:pPr>
      <w:bookmarkStart w:id="0" w:name="_GoBack"/>
      <w:bookmarkEnd w:id="0"/>
    </w:p>
    <w:p w:rsidR="00FA7BD0" w:rsidRPr="00A25BC7" w:rsidRDefault="00FA7BD0" w:rsidP="00FA7BD0">
      <w:pPr>
        <w:pStyle w:val="Titulnstrana"/>
      </w:pPr>
      <w:r w:rsidRPr="00A25BC7">
        <w:t>Ministerstvo pro místní rozvoj</w:t>
      </w:r>
    </w:p>
    <w:p w:rsidR="00FA7BD0" w:rsidRPr="00A25BC7" w:rsidRDefault="00FA7BD0" w:rsidP="00FA7BD0">
      <w:pPr>
        <w:pStyle w:val="Titulnstrana"/>
      </w:pPr>
      <w:r w:rsidRPr="00A25BC7">
        <w:t>Národní orgán pro koordinaci</w:t>
      </w: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Default="00FA7BD0" w:rsidP="00FA7BD0">
      <w:pPr>
        <w:pStyle w:val="Titulnstrana"/>
      </w:pPr>
    </w:p>
    <w:p w:rsidR="00FA7BD0"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9C3F47" w:rsidRPr="009C3F47" w:rsidRDefault="009C3F47" w:rsidP="009C3F47">
      <w:pPr>
        <w:pStyle w:val="Bezmezer"/>
        <w:ind w:left="709" w:hanging="709"/>
        <w:jc w:val="both"/>
        <w:rPr>
          <w:rFonts w:ascii="Arial" w:hAnsi="Arial" w:cs="Arial"/>
          <w:b/>
          <w:sz w:val="36"/>
          <w:szCs w:val="36"/>
        </w:rPr>
      </w:pPr>
      <w:r w:rsidRPr="009C3F47">
        <w:rPr>
          <w:rFonts w:ascii="Arial" w:hAnsi="Arial" w:cs="Arial"/>
          <w:b/>
          <w:sz w:val="36"/>
          <w:szCs w:val="36"/>
        </w:rPr>
        <w:t>2.2</w:t>
      </w:r>
      <w:r w:rsidR="00C46E86">
        <w:rPr>
          <w:rFonts w:ascii="Arial" w:hAnsi="Arial" w:cs="Arial"/>
          <w:b/>
          <w:sz w:val="36"/>
          <w:szCs w:val="36"/>
        </w:rPr>
        <w:t>. a)</w:t>
      </w:r>
      <w:r w:rsidRPr="009C3F47">
        <w:rPr>
          <w:rFonts w:ascii="Arial" w:hAnsi="Arial" w:cs="Arial"/>
          <w:b/>
          <w:sz w:val="36"/>
          <w:szCs w:val="36"/>
        </w:rPr>
        <w:tab/>
        <w:t xml:space="preserve">Stav čerpání prostředků z fondů EU v programovém období 2014 – 2020 a informace </w:t>
      </w:r>
      <w:r w:rsidR="00421A99">
        <w:rPr>
          <w:rFonts w:ascii="Arial" w:hAnsi="Arial" w:cs="Arial"/>
          <w:b/>
          <w:sz w:val="36"/>
          <w:szCs w:val="36"/>
        </w:rPr>
        <w:t xml:space="preserve">          </w:t>
      </w:r>
      <w:r w:rsidRPr="009C3F47">
        <w:rPr>
          <w:rFonts w:ascii="Arial" w:hAnsi="Arial" w:cs="Arial"/>
          <w:b/>
          <w:sz w:val="36"/>
          <w:szCs w:val="36"/>
        </w:rPr>
        <w:t>o přípravě budoucího programového období po roce 2020</w:t>
      </w:r>
    </w:p>
    <w:p w:rsidR="009C3F47" w:rsidRDefault="009C3F47" w:rsidP="009C3F47">
      <w:pPr>
        <w:jc w:val="center"/>
        <w:rPr>
          <w:rFonts w:eastAsia="Calibri"/>
          <w:sz w:val="24"/>
          <w:szCs w:val="24"/>
        </w:rPr>
      </w:pPr>
      <w:r>
        <w:rPr>
          <w:rFonts w:eastAsia="Calibri"/>
          <w:sz w:val="28"/>
          <w:szCs w:val="28"/>
        </w:rPr>
        <w:t>Podklad pro jednání 144. Plenární schůze RHSD ČR</w:t>
      </w:r>
    </w:p>
    <w:p w:rsidR="00FA7BD0" w:rsidRDefault="00FA7BD0" w:rsidP="00FA7BD0">
      <w:pPr>
        <w:spacing w:line="240" w:lineRule="auto"/>
        <w:jc w:val="center"/>
        <w:rPr>
          <w:rFonts w:eastAsia="Calibri"/>
          <w:sz w:val="24"/>
          <w:szCs w:val="24"/>
        </w:rPr>
      </w:pPr>
    </w:p>
    <w:p w:rsidR="00FA7BD0" w:rsidRDefault="00FA7BD0" w:rsidP="00FA7BD0">
      <w:pPr>
        <w:pStyle w:val="Titulnstrana"/>
        <w:rPr>
          <w:b w:val="0"/>
          <w:sz w:val="24"/>
        </w:rPr>
      </w:pPr>
    </w:p>
    <w:p w:rsidR="00FA7BD0" w:rsidRDefault="00FA7BD0" w:rsidP="00FA7BD0">
      <w:pPr>
        <w:pStyle w:val="Titulnstrana"/>
        <w:rPr>
          <w:b w:val="0"/>
          <w:sz w:val="24"/>
        </w:rPr>
      </w:pP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A7BD0" w:rsidRDefault="00FA7BD0" w:rsidP="00FA7BD0">
      <w:pPr>
        <w:pStyle w:val="Titulnstrana"/>
      </w:pPr>
    </w:p>
    <w:p w:rsidR="00FA7BD0" w:rsidRPr="008F4885" w:rsidRDefault="00FA7BD0" w:rsidP="00FA7BD0">
      <w:pPr>
        <w:pStyle w:val="Titulnstrana"/>
      </w:pPr>
    </w:p>
    <w:p w:rsidR="00FA7BD0" w:rsidRPr="008F4885" w:rsidRDefault="00FA7BD0" w:rsidP="00FA7BD0">
      <w:pPr>
        <w:pStyle w:val="Titulnstrana"/>
      </w:pPr>
    </w:p>
    <w:p w:rsidR="00F57D81" w:rsidRDefault="00B77BB8" w:rsidP="00FA7BD0">
      <w:pPr>
        <w:pStyle w:val="Titulnstrana"/>
        <w:rPr>
          <w:b w:val="0"/>
          <w:sz w:val="24"/>
        </w:rPr>
      </w:pPr>
      <w:r>
        <w:rPr>
          <w:b w:val="0"/>
          <w:sz w:val="24"/>
        </w:rPr>
        <w:t>ČERVEN</w:t>
      </w:r>
      <w:r w:rsidR="00BC2504">
        <w:rPr>
          <w:b w:val="0"/>
          <w:sz w:val="24"/>
        </w:rPr>
        <w:t xml:space="preserve"> </w:t>
      </w:r>
      <w:r w:rsidR="00FA7BD0" w:rsidRPr="00A25BC7">
        <w:rPr>
          <w:b w:val="0"/>
          <w:sz w:val="24"/>
        </w:rPr>
        <w:t>201</w:t>
      </w:r>
      <w:r w:rsidR="00FA7BD0">
        <w:rPr>
          <w:b w:val="0"/>
          <w:sz w:val="24"/>
        </w:rPr>
        <w:t>8</w:t>
      </w:r>
    </w:p>
    <w:p w:rsidR="008A700C" w:rsidRPr="00FA7BD0" w:rsidRDefault="008A700C" w:rsidP="00FA7BD0">
      <w:pPr>
        <w:pStyle w:val="Titulnstrana"/>
        <w:rPr>
          <w:b w:val="0"/>
          <w:sz w:val="24"/>
        </w:rPr>
      </w:pPr>
    </w:p>
    <w:p w:rsidR="00D01850" w:rsidRPr="009B4AE5" w:rsidRDefault="00D01850" w:rsidP="00C632D8">
      <w:pPr>
        <w:pStyle w:val="Nadpis1"/>
      </w:pPr>
      <w:bookmarkStart w:id="1" w:name="_Toc472078385"/>
      <w:r w:rsidRPr="00474ACB">
        <w:lastRenderedPageBreak/>
        <w:t>Vyhlášené výzvy</w:t>
      </w:r>
      <w:r w:rsidRPr="009B4AE5">
        <w:t xml:space="preserve"> v programech období 2014–2020</w:t>
      </w:r>
      <w:bookmarkEnd w:id="1"/>
    </w:p>
    <w:p w:rsidR="006E5B6A" w:rsidRDefault="006E5B6A" w:rsidP="006E5B6A">
      <w:bookmarkStart w:id="2" w:name="_Toc472078386"/>
      <w:r w:rsidRPr="004F109B">
        <w:t>O</w:t>
      </w:r>
      <w:r w:rsidRPr="00FE5115">
        <w:t>d počátku programového období 2014–2020 bylo ke dni</w:t>
      </w:r>
      <w:r>
        <w:t xml:space="preserve"> </w:t>
      </w:r>
      <w:r w:rsidR="00727E48">
        <w:t>3</w:t>
      </w:r>
      <w:r w:rsidR="00BC2504">
        <w:t>0</w:t>
      </w:r>
      <w:r>
        <w:t xml:space="preserve">. </w:t>
      </w:r>
      <w:r w:rsidR="00BC2504">
        <w:t>dubna</w:t>
      </w:r>
      <w:r w:rsidR="00727E48">
        <w:t xml:space="preserve"> </w:t>
      </w:r>
      <w:r w:rsidRPr="00FE5115">
        <w:t>201</w:t>
      </w:r>
      <w:r w:rsidR="00A50733">
        <w:t>8</w:t>
      </w:r>
      <w:r w:rsidRPr="00FE5115">
        <w:t xml:space="preserve"> </w:t>
      </w:r>
      <w:r w:rsidRPr="00FF7FE9">
        <w:rPr>
          <w:b/>
        </w:rPr>
        <w:t xml:space="preserve">vyhlášeno kumulativně za všechny programy </w:t>
      </w:r>
      <w:r w:rsidR="006474EB">
        <w:rPr>
          <w:b/>
        </w:rPr>
        <w:t>721</w:t>
      </w:r>
      <w:r w:rsidR="006474EB" w:rsidRPr="00FF7FE9">
        <w:rPr>
          <w:b/>
        </w:rPr>
        <w:t> </w:t>
      </w:r>
      <w:r w:rsidRPr="00FF7FE9">
        <w:rPr>
          <w:b/>
        </w:rPr>
        <w:t xml:space="preserve">výzev s alokací </w:t>
      </w:r>
      <w:r w:rsidR="006474EB">
        <w:rPr>
          <w:b/>
        </w:rPr>
        <w:t>636,6</w:t>
      </w:r>
      <w:r w:rsidRPr="00FF7FE9">
        <w:rPr>
          <w:b/>
        </w:rPr>
        <w:t xml:space="preserve"> mld. Kč</w:t>
      </w:r>
      <w:r w:rsidRPr="004F109B">
        <w:t xml:space="preserve"> (příspěvek EU), což</w:t>
      </w:r>
      <w:r w:rsidRPr="00FE5115">
        <w:t xml:space="preserve"> představuje </w:t>
      </w:r>
      <w:r w:rsidR="00924524">
        <w:rPr>
          <w:b/>
        </w:rPr>
        <w:t>1</w:t>
      </w:r>
      <w:r w:rsidR="006474EB">
        <w:rPr>
          <w:b/>
        </w:rPr>
        <w:t>11,1</w:t>
      </w:r>
      <w:r w:rsidRPr="00FF7FE9">
        <w:rPr>
          <w:b/>
        </w:rPr>
        <w:t xml:space="preserve"> % hlavní alokace tohoto programového období</w:t>
      </w:r>
      <w:r>
        <w:t>, která</w:t>
      </w:r>
      <w:r w:rsidRPr="004F109B">
        <w:t xml:space="preserve"> činí </w:t>
      </w:r>
      <w:r w:rsidR="00EC0B19">
        <w:rPr>
          <w:b/>
        </w:rPr>
        <w:t>57</w:t>
      </w:r>
      <w:r w:rsidR="00D00290">
        <w:rPr>
          <w:b/>
        </w:rPr>
        <w:t>2,8</w:t>
      </w:r>
      <w:r>
        <w:rPr>
          <w:b/>
        </w:rPr>
        <w:t> </w:t>
      </w:r>
      <w:r w:rsidRPr="00FF7FE9">
        <w:rPr>
          <w:b/>
        </w:rPr>
        <w:t>mld.</w:t>
      </w:r>
      <w:r>
        <w:rPr>
          <w:b/>
        </w:rPr>
        <w:t> </w:t>
      </w:r>
      <w:r w:rsidRPr="00FF7FE9">
        <w:rPr>
          <w:b/>
        </w:rPr>
        <w:t>Kč</w:t>
      </w:r>
      <w:r w:rsidRPr="004F109B">
        <w:t xml:space="preserve"> (příspěvek EU).</w:t>
      </w:r>
      <w:r w:rsidRPr="004F109B">
        <w:rPr>
          <w:vertAlign w:val="superscript"/>
        </w:rPr>
        <w:footnoteReference w:id="1"/>
      </w:r>
      <w:r w:rsidRPr="004F109B">
        <w:t xml:space="preserve"> Ze všech programů doposud vyhlásil </w:t>
      </w:r>
      <w:r w:rsidRPr="00550E9A">
        <w:t>nejvyšší objem výzev</w:t>
      </w:r>
      <w:r>
        <w:t xml:space="preserve"> v absolutních hodnotách</w:t>
      </w:r>
      <w:r w:rsidRPr="00550E9A">
        <w:t xml:space="preserve"> </w:t>
      </w:r>
      <w:r>
        <w:t>OP</w:t>
      </w:r>
      <w:r w:rsidRPr="00550E9A">
        <w:t xml:space="preserve"> Doprava, dále Integrovaný regionální </w:t>
      </w:r>
      <w:r>
        <w:t>OP</w:t>
      </w:r>
      <w:r w:rsidRPr="00550E9A">
        <w:t xml:space="preserve"> a </w:t>
      </w:r>
      <w:r>
        <w:t>OP</w:t>
      </w:r>
      <w:r w:rsidRPr="00550E9A">
        <w:t xml:space="preserve"> </w:t>
      </w:r>
      <w:r>
        <w:t>Podnikání a inovace pro konkurenceschopnost</w:t>
      </w:r>
      <w:r w:rsidRPr="00550E9A">
        <w:t>.</w:t>
      </w:r>
    </w:p>
    <w:p w:rsidR="006E5B6A" w:rsidRPr="00F27B88" w:rsidRDefault="00EC3F05" w:rsidP="006E5B6A">
      <w:r>
        <w:t>MMR-NOK také sleduje podíl vyhlášených výzev na hlavní alokaci jednotlivých programů. N</w:t>
      </w:r>
      <w:r w:rsidRPr="004F109B">
        <w:t>ejvyšší podíl výzev vůči hlavní alokaci programu</w:t>
      </w:r>
      <w:r w:rsidRPr="00FE5115">
        <w:t xml:space="preserve"> </w:t>
      </w:r>
      <w:r>
        <w:t xml:space="preserve">vyhlásily do konce </w:t>
      </w:r>
      <w:r w:rsidR="00BC2504">
        <w:t xml:space="preserve">dubna </w:t>
      </w:r>
      <w:r>
        <w:t xml:space="preserve">2018 řídicí orgány OP Rybářství, dále </w:t>
      </w:r>
      <w:r w:rsidRPr="00E92E04">
        <w:t>OP Doprava a</w:t>
      </w:r>
      <w:r>
        <w:t xml:space="preserve"> OP Praha – pól růstu ČR</w:t>
      </w:r>
      <w:r w:rsidRPr="00FE5115">
        <w:t>.</w:t>
      </w:r>
      <w:r>
        <w:t xml:space="preserve"> Na druhé straně je nutno upozornit, že nejmenší objem prostředků ve výzvách ve vztahu k hlavní alokaci programu dosud vyhlásil Program rozvoje venkova.</w:t>
      </w:r>
    </w:p>
    <w:p w:rsidR="006E5B6A" w:rsidRPr="00C94605" w:rsidRDefault="006E5B6A" w:rsidP="0023748F">
      <w:pPr>
        <w:pStyle w:val="Titulektabulky"/>
        <w:spacing w:after="0"/>
      </w:pPr>
      <w:r>
        <w:t xml:space="preserve">Tabulka č. 1 </w:t>
      </w:r>
      <w:r w:rsidRPr="00780A83">
        <w:t xml:space="preserve">– Vyhlášené výzvy v jednotlivých programech ke dni </w:t>
      </w:r>
      <w:r w:rsidR="0095269D">
        <w:t>3</w:t>
      </w:r>
      <w:r w:rsidR="00BC2504">
        <w:t>0</w:t>
      </w:r>
      <w:r>
        <w:t>.</w:t>
      </w:r>
      <w:r w:rsidR="0095269D">
        <w:t xml:space="preserve"> </w:t>
      </w:r>
      <w:r w:rsidR="00BC2504">
        <w:t>dubna</w:t>
      </w:r>
      <w:r w:rsidR="001673A8">
        <w:t xml:space="preserve"> </w:t>
      </w:r>
      <w:r w:rsidRPr="00780A83">
        <w:t>201</w:t>
      </w:r>
      <w:r w:rsidR="00013558">
        <w:t>8</w:t>
      </w:r>
    </w:p>
    <w:tbl>
      <w:tblPr>
        <w:tblStyle w:val="Svtlmkazvraznn51"/>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600"/>
      </w:tblPr>
      <w:tblGrid>
        <w:gridCol w:w="2878"/>
        <w:gridCol w:w="1562"/>
        <w:gridCol w:w="1839"/>
        <w:gridCol w:w="1984"/>
        <w:gridCol w:w="1557"/>
      </w:tblGrid>
      <w:tr w:rsidR="00DF3A6D" w:rsidRPr="00EC3F05" w:rsidTr="004E3BB8">
        <w:trPr>
          <w:trHeight w:val="650"/>
          <w:jc w:val="center"/>
        </w:trPr>
        <w:tc>
          <w:tcPr>
            <w:tcW w:w="1465" w:type="pct"/>
            <w:vMerge w:val="restart"/>
            <w:shd w:val="clear" w:color="auto" w:fill="000099"/>
            <w:vAlign w:val="center"/>
            <w:hideMark/>
          </w:tcPr>
          <w:p w:rsidR="00EC3F05" w:rsidRPr="0095269D" w:rsidRDefault="00EC3F05" w:rsidP="00EC3F05">
            <w:pPr>
              <w:spacing w:before="60" w:after="60"/>
              <w:jc w:val="center"/>
              <w:rPr>
                <w:b/>
                <w:sz w:val="18"/>
                <w:szCs w:val="16"/>
                <w:bdr w:val="none" w:sz="0" w:space="0" w:color="auto" w:frame="1"/>
                <w:lang w:val="cs-CZ"/>
              </w:rPr>
            </w:pPr>
            <w:r w:rsidRPr="0095269D">
              <w:rPr>
                <w:b/>
                <w:sz w:val="18"/>
                <w:szCs w:val="16"/>
                <w:bdr w:val="none" w:sz="0" w:space="0" w:color="auto" w:frame="1"/>
              </w:rPr>
              <w:t>Program</w:t>
            </w:r>
          </w:p>
        </w:tc>
        <w:tc>
          <w:tcPr>
            <w:tcW w:w="795" w:type="pct"/>
            <w:vMerge w:val="restart"/>
            <w:shd w:val="clear" w:color="auto" w:fill="000099"/>
            <w:vAlign w:val="center"/>
          </w:tcPr>
          <w:p w:rsidR="00EC3F05" w:rsidRPr="0095269D" w:rsidRDefault="00EC3F05" w:rsidP="00EC3F05">
            <w:pPr>
              <w:spacing w:before="60" w:after="60"/>
              <w:jc w:val="center"/>
              <w:rPr>
                <w:b/>
                <w:sz w:val="18"/>
                <w:szCs w:val="16"/>
                <w:bdr w:val="none" w:sz="0" w:space="0" w:color="auto" w:frame="1"/>
              </w:rPr>
            </w:pPr>
            <w:r w:rsidRPr="0095269D">
              <w:rPr>
                <w:rFonts w:eastAsia="Times New Roman"/>
                <w:b/>
                <w:bCs/>
                <w:color w:val="FFFFFF"/>
                <w:sz w:val="18"/>
                <w:szCs w:val="18"/>
              </w:rPr>
              <w:t>Fond</w:t>
            </w:r>
          </w:p>
        </w:tc>
        <w:tc>
          <w:tcPr>
            <w:tcW w:w="936" w:type="pct"/>
            <w:shd w:val="clear" w:color="auto" w:fill="000099"/>
            <w:vAlign w:val="center"/>
            <w:hideMark/>
          </w:tcPr>
          <w:p w:rsidR="00EC3F05" w:rsidRPr="00D837F0" w:rsidRDefault="00EC3F05" w:rsidP="00EC3F05">
            <w:pPr>
              <w:spacing w:before="60" w:after="60"/>
              <w:jc w:val="center"/>
              <w:rPr>
                <w:b/>
                <w:sz w:val="18"/>
                <w:szCs w:val="16"/>
                <w:bdr w:val="none" w:sz="0" w:space="0" w:color="auto" w:frame="1"/>
                <w:lang w:val="cs-CZ"/>
              </w:rPr>
            </w:pPr>
            <w:r w:rsidRPr="00D837F0">
              <w:rPr>
                <w:b/>
                <w:sz w:val="18"/>
                <w:szCs w:val="16"/>
                <w:bdr w:val="none" w:sz="0" w:space="0" w:color="auto" w:frame="1"/>
                <w:lang w:val="cs-CZ"/>
              </w:rPr>
              <w:t>Počet výzev</w:t>
            </w:r>
          </w:p>
        </w:tc>
        <w:tc>
          <w:tcPr>
            <w:tcW w:w="1010" w:type="pct"/>
            <w:shd w:val="clear" w:color="auto" w:fill="000099"/>
            <w:vAlign w:val="center"/>
            <w:hideMark/>
          </w:tcPr>
          <w:p w:rsidR="00EC3F05" w:rsidRPr="00D837F0" w:rsidRDefault="00EC3F05" w:rsidP="00EC3F05">
            <w:pPr>
              <w:spacing w:before="60" w:after="60"/>
              <w:jc w:val="center"/>
              <w:rPr>
                <w:b/>
                <w:sz w:val="18"/>
                <w:szCs w:val="16"/>
                <w:bdr w:val="none" w:sz="0" w:space="0" w:color="auto" w:frame="1"/>
                <w:lang w:val="cs-CZ"/>
              </w:rPr>
            </w:pPr>
            <w:r w:rsidRPr="00D837F0">
              <w:rPr>
                <w:b/>
                <w:sz w:val="18"/>
                <w:szCs w:val="16"/>
                <w:bdr w:val="none" w:sz="0" w:space="0" w:color="auto" w:frame="1"/>
                <w:lang w:val="cs-CZ"/>
              </w:rPr>
              <w:t>Objem vyhlášených výzev</w:t>
            </w:r>
          </w:p>
        </w:tc>
        <w:tc>
          <w:tcPr>
            <w:tcW w:w="793" w:type="pct"/>
            <w:vMerge w:val="restart"/>
            <w:shd w:val="clear" w:color="auto" w:fill="000099"/>
          </w:tcPr>
          <w:p w:rsidR="00EC3F05" w:rsidRPr="00D837F0" w:rsidRDefault="00EC3F05" w:rsidP="00EC3F05">
            <w:pPr>
              <w:spacing w:before="60" w:after="60"/>
              <w:jc w:val="center"/>
              <w:rPr>
                <w:b/>
                <w:sz w:val="18"/>
                <w:szCs w:val="16"/>
                <w:bdr w:val="none" w:sz="0" w:space="0" w:color="auto" w:frame="1"/>
                <w:lang w:val="cs-CZ"/>
              </w:rPr>
            </w:pPr>
            <w:r w:rsidRPr="00D837F0">
              <w:rPr>
                <w:b/>
                <w:sz w:val="18"/>
                <w:szCs w:val="16"/>
                <w:bdr w:val="none" w:sz="0" w:space="0" w:color="auto" w:frame="1"/>
                <w:lang w:val="cs-CZ"/>
              </w:rPr>
              <w:t>Podíl vyhlášených výzev na hlavní alokaci (v %)</w:t>
            </w:r>
          </w:p>
        </w:tc>
      </w:tr>
      <w:tr w:rsidR="00DF3A6D" w:rsidRPr="00EC3F05" w:rsidTr="004E3BB8">
        <w:trPr>
          <w:trHeight w:val="373"/>
          <w:jc w:val="center"/>
        </w:trPr>
        <w:tc>
          <w:tcPr>
            <w:tcW w:w="1465" w:type="pct"/>
            <w:vMerge/>
            <w:shd w:val="clear" w:color="auto" w:fill="000099"/>
            <w:vAlign w:val="center"/>
            <w:hideMark/>
          </w:tcPr>
          <w:p w:rsidR="00EC3F05" w:rsidRPr="0095269D" w:rsidRDefault="00EC3F05" w:rsidP="00EC3F05">
            <w:pPr>
              <w:spacing w:before="60" w:after="60"/>
              <w:rPr>
                <w:sz w:val="18"/>
                <w:szCs w:val="16"/>
                <w:bdr w:val="none" w:sz="0" w:space="0" w:color="auto" w:frame="1"/>
                <w:lang w:val="cs-CZ"/>
              </w:rPr>
            </w:pPr>
          </w:p>
        </w:tc>
        <w:tc>
          <w:tcPr>
            <w:tcW w:w="795" w:type="pct"/>
            <w:vMerge/>
            <w:shd w:val="clear" w:color="auto" w:fill="000099"/>
          </w:tcPr>
          <w:p w:rsidR="00EC3F05" w:rsidRPr="0095269D" w:rsidRDefault="00EC3F05" w:rsidP="00EC3F05">
            <w:pPr>
              <w:spacing w:before="60" w:after="60"/>
              <w:jc w:val="center"/>
              <w:rPr>
                <w:b/>
                <w:sz w:val="18"/>
                <w:szCs w:val="16"/>
                <w:bdr w:val="none" w:sz="0" w:space="0" w:color="auto" w:frame="1"/>
              </w:rPr>
            </w:pPr>
          </w:p>
        </w:tc>
        <w:tc>
          <w:tcPr>
            <w:tcW w:w="936" w:type="pct"/>
            <w:shd w:val="clear" w:color="auto" w:fill="000099"/>
            <w:vAlign w:val="center"/>
            <w:hideMark/>
          </w:tcPr>
          <w:p w:rsidR="00EC3F05" w:rsidRPr="0095269D" w:rsidRDefault="00EC3F05" w:rsidP="00EC3F05">
            <w:pPr>
              <w:spacing w:before="60" w:after="60"/>
              <w:jc w:val="center"/>
              <w:rPr>
                <w:b/>
                <w:sz w:val="18"/>
                <w:szCs w:val="16"/>
                <w:bdr w:val="none" w:sz="0" w:space="0" w:color="auto" w:frame="1"/>
                <w:lang w:val="cs-CZ"/>
              </w:rPr>
            </w:pPr>
            <w:r w:rsidRPr="0095269D">
              <w:rPr>
                <w:b/>
                <w:sz w:val="18"/>
                <w:szCs w:val="16"/>
                <w:bdr w:val="none" w:sz="0" w:space="0" w:color="auto" w:frame="1"/>
              </w:rPr>
              <w:t>počet</w:t>
            </w:r>
          </w:p>
        </w:tc>
        <w:tc>
          <w:tcPr>
            <w:tcW w:w="1010" w:type="pct"/>
            <w:shd w:val="clear" w:color="auto" w:fill="000099"/>
            <w:vAlign w:val="center"/>
            <w:hideMark/>
          </w:tcPr>
          <w:p w:rsidR="00EC3F05" w:rsidRPr="0095269D" w:rsidRDefault="00EC3F05" w:rsidP="00EC3F05">
            <w:pPr>
              <w:spacing w:before="60" w:after="60"/>
              <w:jc w:val="center"/>
              <w:rPr>
                <w:b/>
                <w:sz w:val="18"/>
                <w:szCs w:val="16"/>
                <w:bdr w:val="none" w:sz="0" w:space="0" w:color="auto" w:frame="1"/>
                <w:lang w:val="cs-CZ"/>
              </w:rPr>
            </w:pPr>
            <w:r w:rsidRPr="0095269D">
              <w:rPr>
                <w:b/>
                <w:sz w:val="18"/>
                <w:szCs w:val="16"/>
                <w:bdr w:val="none" w:sz="0" w:space="0" w:color="auto" w:frame="1"/>
              </w:rPr>
              <w:t>mld. Kč</w:t>
            </w:r>
          </w:p>
        </w:tc>
        <w:tc>
          <w:tcPr>
            <w:tcW w:w="793" w:type="pct"/>
            <w:vMerge/>
            <w:shd w:val="clear" w:color="auto" w:fill="000099"/>
          </w:tcPr>
          <w:p w:rsidR="00EC3F05" w:rsidRPr="0095269D" w:rsidRDefault="00EC3F05" w:rsidP="00EC3F05">
            <w:pPr>
              <w:rPr>
                <w:sz w:val="18"/>
                <w:szCs w:val="16"/>
                <w:bdr w:val="none" w:sz="0" w:space="0" w:color="auto" w:frame="1"/>
                <w:lang w:val="cs-CZ"/>
              </w:rPr>
            </w:pP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PIK</w:t>
            </w:r>
            <w:r>
              <w:rPr>
                <w:rFonts w:eastAsia="Times New Roman"/>
                <w:color w:val="000000"/>
                <w:sz w:val="18"/>
                <w:szCs w:val="18"/>
              </w:rPr>
              <w:t xml:space="preserve"> (MPO)</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EFRR</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176</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112,5</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108,4%</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VVV</w:t>
            </w:r>
            <w:r>
              <w:rPr>
                <w:rFonts w:eastAsia="Times New Roman"/>
                <w:color w:val="000000"/>
                <w:sz w:val="18"/>
                <w:szCs w:val="18"/>
              </w:rPr>
              <w:t xml:space="preserve"> (MŠMT)</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EFRR+ESF</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52</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73,6</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110,9%</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Z</w:t>
            </w:r>
            <w:r>
              <w:rPr>
                <w:rFonts w:eastAsia="Times New Roman"/>
                <w:color w:val="000000"/>
                <w:sz w:val="18"/>
                <w:szCs w:val="18"/>
              </w:rPr>
              <w:t xml:space="preserve"> (MPSV)</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ESF (+YEI)</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92</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54,2</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104,7%</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D</w:t>
            </w:r>
            <w:r>
              <w:rPr>
                <w:rFonts w:eastAsia="Times New Roman"/>
                <w:color w:val="000000"/>
                <w:sz w:val="18"/>
                <w:szCs w:val="18"/>
              </w:rPr>
              <w:t xml:space="preserve"> (MD)</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EFRR+FS</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51</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151,9</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138,7%</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ŽP</w:t>
            </w:r>
            <w:r>
              <w:rPr>
                <w:rFonts w:eastAsia="Times New Roman"/>
                <w:color w:val="000000"/>
                <w:sz w:val="18"/>
                <w:szCs w:val="18"/>
              </w:rPr>
              <w:t xml:space="preserve"> (MŽP)</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EFRR+FS</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104</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68,3</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106,8%</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IROP</w:t>
            </w:r>
            <w:r>
              <w:rPr>
                <w:rFonts w:eastAsia="Times New Roman"/>
                <w:color w:val="000000"/>
                <w:sz w:val="18"/>
                <w:szCs w:val="18"/>
              </w:rPr>
              <w:t xml:space="preserve"> (MMR)</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EFRR</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80</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121,5</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109,3%</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PPR</w:t>
            </w:r>
            <w:r>
              <w:rPr>
                <w:rFonts w:eastAsia="Times New Roman"/>
                <w:color w:val="000000"/>
                <w:sz w:val="18"/>
                <w:szCs w:val="18"/>
              </w:rPr>
              <w:t xml:space="preserve"> (HMP)</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EFRR+ESF</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42</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6,2</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127,4%</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TP</w:t>
            </w:r>
            <w:r>
              <w:rPr>
                <w:rFonts w:eastAsia="Times New Roman"/>
                <w:color w:val="000000"/>
                <w:sz w:val="18"/>
                <w:szCs w:val="18"/>
              </w:rPr>
              <w:t xml:space="preserve"> (MMR)</w:t>
            </w:r>
          </w:p>
        </w:tc>
        <w:tc>
          <w:tcPr>
            <w:tcW w:w="795" w:type="pct"/>
            <w:vAlign w:val="center"/>
          </w:tcPr>
          <w:p w:rsidR="0062238F" w:rsidRPr="006A5E91" w:rsidRDefault="0062238F" w:rsidP="0062238F">
            <w:pPr>
              <w:spacing w:before="60" w:after="60"/>
              <w:jc w:val="left"/>
              <w:rPr>
                <w:color w:val="000000"/>
                <w:sz w:val="18"/>
                <w:szCs w:val="16"/>
              </w:rPr>
            </w:pPr>
            <w:r w:rsidRPr="0095269D">
              <w:rPr>
                <w:rFonts w:eastAsia="Times New Roman"/>
                <w:color w:val="000000"/>
                <w:sz w:val="18"/>
                <w:szCs w:val="16"/>
              </w:rPr>
              <w:t>FS</w:t>
            </w:r>
          </w:p>
        </w:tc>
        <w:tc>
          <w:tcPr>
            <w:tcW w:w="936" w:type="pct"/>
            <w:tcBorders>
              <w:bottom w:val="single" w:sz="4" w:space="0" w:color="auto"/>
            </w:tcBorders>
            <w:vAlign w:val="bottom"/>
          </w:tcPr>
          <w:p w:rsidR="0062238F" w:rsidRPr="006A5E91" w:rsidRDefault="0062238F" w:rsidP="0062238F">
            <w:pPr>
              <w:spacing w:before="60" w:after="60"/>
              <w:jc w:val="right"/>
              <w:rPr>
                <w:sz w:val="18"/>
                <w:szCs w:val="16"/>
                <w:lang w:val="cs-CZ"/>
              </w:rPr>
            </w:pPr>
            <w:r w:rsidRPr="005E2199">
              <w:rPr>
                <w:color w:val="000000"/>
                <w:szCs w:val="20"/>
              </w:rPr>
              <w:t>4</w:t>
            </w:r>
          </w:p>
        </w:tc>
        <w:tc>
          <w:tcPr>
            <w:tcW w:w="1010" w:type="pct"/>
            <w:tcBorders>
              <w:bottom w:val="single" w:sz="4" w:space="0" w:color="auto"/>
            </w:tcBorders>
            <w:vAlign w:val="bottom"/>
          </w:tcPr>
          <w:p w:rsidR="0062238F" w:rsidRPr="006A5E91" w:rsidRDefault="0062238F" w:rsidP="0062238F">
            <w:pPr>
              <w:spacing w:before="60" w:after="60"/>
              <w:jc w:val="right"/>
              <w:rPr>
                <w:sz w:val="18"/>
                <w:szCs w:val="16"/>
                <w:lang w:val="cs-CZ"/>
              </w:rPr>
            </w:pPr>
            <w:r w:rsidRPr="00EC23A6">
              <w:rPr>
                <w:color w:val="000000"/>
                <w:szCs w:val="20"/>
              </w:rPr>
              <w:t>5,8</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107,2%</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PRV</w:t>
            </w:r>
            <w:r>
              <w:rPr>
                <w:rFonts w:eastAsia="Times New Roman"/>
                <w:color w:val="000000"/>
                <w:sz w:val="18"/>
                <w:szCs w:val="18"/>
              </w:rPr>
              <w:t xml:space="preserve"> (MZe)</w:t>
            </w:r>
          </w:p>
        </w:tc>
        <w:tc>
          <w:tcPr>
            <w:tcW w:w="795" w:type="pct"/>
            <w:shd w:val="clear" w:color="auto" w:fill="FFFFFF" w:themeFill="background1"/>
            <w:vAlign w:val="center"/>
          </w:tcPr>
          <w:p w:rsidR="0062238F" w:rsidRPr="006A5E91" w:rsidRDefault="0062238F" w:rsidP="0062238F">
            <w:pPr>
              <w:spacing w:before="60" w:after="60"/>
              <w:jc w:val="left"/>
              <w:rPr>
                <w:color w:val="000000"/>
                <w:sz w:val="18"/>
                <w:szCs w:val="16"/>
              </w:rPr>
            </w:pPr>
            <w:r>
              <w:rPr>
                <w:sz w:val="18"/>
                <w:szCs w:val="16"/>
              </w:rPr>
              <w:t>EZFRV</w:t>
            </w:r>
          </w:p>
        </w:tc>
        <w:tc>
          <w:tcPr>
            <w:tcW w:w="936" w:type="pct"/>
            <w:shd w:val="clear" w:color="auto" w:fill="FFFFFF" w:themeFill="background1"/>
            <w:vAlign w:val="bottom"/>
          </w:tcPr>
          <w:p w:rsidR="0062238F" w:rsidRPr="006A5E91" w:rsidRDefault="0062238F" w:rsidP="0062238F">
            <w:pPr>
              <w:spacing w:before="60" w:after="60"/>
              <w:jc w:val="right"/>
              <w:rPr>
                <w:sz w:val="18"/>
                <w:szCs w:val="16"/>
                <w:lang w:val="cs-CZ"/>
              </w:rPr>
            </w:pPr>
            <w:r w:rsidRPr="005E2199">
              <w:rPr>
                <w:color w:val="000000"/>
                <w:szCs w:val="20"/>
              </w:rPr>
              <w:t>92</w:t>
            </w:r>
          </w:p>
        </w:tc>
        <w:tc>
          <w:tcPr>
            <w:tcW w:w="1010" w:type="pct"/>
            <w:shd w:val="clear" w:color="auto" w:fill="FFFFFF" w:themeFill="background1"/>
            <w:vAlign w:val="bottom"/>
          </w:tcPr>
          <w:p w:rsidR="0062238F" w:rsidRPr="006A5E91" w:rsidRDefault="0062238F" w:rsidP="0062238F">
            <w:pPr>
              <w:spacing w:before="60" w:after="60"/>
              <w:jc w:val="right"/>
              <w:rPr>
                <w:sz w:val="18"/>
                <w:szCs w:val="16"/>
                <w:lang w:val="cs-CZ"/>
              </w:rPr>
            </w:pPr>
            <w:r w:rsidRPr="00EC23A6">
              <w:rPr>
                <w:color w:val="000000"/>
                <w:szCs w:val="20"/>
              </w:rPr>
              <w:t>41,6</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75,1%</w:t>
            </w:r>
          </w:p>
        </w:tc>
      </w:tr>
      <w:tr w:rsidR="0062238F" w:rsidRPr="00EC3F05" w:rsidTr="004E3BB8">
        <w:trPr>
          <w:trHeight w:val="340"/>
          <w:jc w:val="center"/>
        </w:trPr>
        <w:tc>
          <w:tcPr>
            <w:tcW w:w="1465" w:type="pct"/>
            <w:vAlign w:val="center"/>
            <w:hideMark/>
          </w:tcPr>
          <w:p w:rsidR="0062238F" w:rsidRPr="006A5E91" w:rsidRDefault="0062238F" w:rsidP="0062238F">
            <w:pPr>
              <w:spacing w:before="60" w:after="60"/>
              <w:rPr>
                <w:sz w:val="18"/>
                <w:szCs w:val="16"/>
                <w:bdr w:val="none" w:sz="0" w:space="0" w:color="auto" w:frame="1"/>
                <w:lang w:val="cs-CZ"/>
              </w:rPr>
            </w:pPr>
            <w:r w:rsidRPr="002F4D2C">
              <w:rPr>
                <w:rFonts w:eastAsia="Times New Roman"/>
                <w:color w:val="000000"/>
                <w:sz w:val="18"/>
                <w:szCs w:val="18"/>
              </w:rPr>
              <w:t>OP R</w:t>
            </w:r>
            <w:r>
              <w:rPr>
                <w:rFonts w:eastAsia="Times New Roman"/>
                <w:color w:val="000000"/>
                <w:sz w:val="18"/>
                <w:szCs w:val="18"/>
              </w:rPr>
              <w:t xml:space="preserve"> (MZe)</w:t>
            </w:r>
          </w:p>
        </w:tc>
        <w:tc>
          <w:tcPr>
            <w:tcW w:w="795" w:type="pct"/>
            <w:vAlign w:val="center"/>
          </w:tcPr>
          <w:p w:rsidR="0062238F" w:rsidRPr="006A5E91" w:rsidRDefault="0062238F" w:rsidP="0062238F">
            <w:pPr>
              <w:spacing w:before="60" w:after="60"/>
              <w:jc w:val="left"/>
              <w:rPr>
                <w:color w:val="000000"/>
                <w:sz w:val="18"/>
                <w:szCs w:val="16"/>
              </w:rPr>
            </w:pPr>
            <w:r w:rsidRPr="0095269D">
              <w:rPr>
                <w:color w:val="000000"/>
                <w:sz w:val="18"/>
                <w:szCs w:val="16"/>
              </w:rPr>
              <w:t>ENRF</w:t>
            </w:r>
          </w:p>
        </w:tc>
        <w:tc>
          <w:tcPr>
            <w:tcW w:w="936" w:type="pct"/>
            <w:vAlign w:val="bottom"/>
          </w:tcPr>
          <w:p w:rsidR="0062238F" w:rsidRPr="006A5E91" w:rsidRDefault="0062238F" w:rsidP="0062238F">
            <w:pPr>
              <w:spacing w:before="60" w:after="60"/>
              <w:jc w:val="right"/>
              <w:rPr>
                <w:sz w:val="18"/>
                <w:szCs w:val="16"/>
                <w:lang w:val="cs-CZ"/>
              </w:rPr>
            </w:pPr>
            <w:r w:rsidRPr="005E2199">
              <w:rPr>
                <w:color w:val="000000"/>
                <w:szCs w:val="20"/>
              </w:rPr>
              <w:t>28</w:t>
            </w:r>
          </w:p>
        </w:tc>
        <w:tc>
          <w:tcPr>
            <w:tcW w:w="1010" w:type="pct"/>
            <w:vAlign w:val="bottom"/>
          </w:tcPr>
          <w:p w:rsidR="0062238F" w:rsidRPr="006A5E91" w:rsidRDefault="0062238F" w:rsidP="0062238F">
            <w:pPr>
              <w:spacing w:before="60" w:after="60"/>
              <w:jc w:val="right"/>
              <w:rPr>
                <w:sz w:val="18"/>
                <w:szCs w:val="16"/>
                <w:lang w:val="cs-CZ"/>
              </w:rPr>
            </w:pPr>
            <w:r w:rsidRPr="00EC23A6">
              <w:rPr>
                <w:color w:val="000000"/>
                <w:szCs w:val="20"/>
              </w:rPr>
              <w:t>1,2</w:t>
            </w:r>
          </w:p>
        </w:tc>
        <w:tc>
          <w:tcPr>
            <w:tcW w:w="793" w:type="pct"/>
            <w:vAlign w:val="bottom"/>
          </w:tcPr>
          <w:p w:rsidR="0062238F" w:rsidRPr="006A5E91" w:rsidRDefault="0062238F" w:rsidP="0062238F">
            <w:pPr>
              <w:spacing w:before="60" w:after="60"/>
              <w:jc w:val="right"/>
              <w:rPr>
                <w:sz w:val="18"/>
                <w:szCs w:val="16"/>
                <w:lang w:val="cs-CZ"/>
              </w:rPr>
            </w:pPr>
            <w:r w:rsidRPr="00EC23A6">
              <w:rPr>
                <w:color w:val="000000"/>
                <w:szCs w:val="20"/>
              </w:rPr>
              <w:t>159,3%</w:t>
            </w:r>
          </w:p>
        </w:tc>
      </w:tr>
      <w:tr w:rsidR="0062238F" w:rsidRPr="00EC3F05" w:rsidTr="004E3BB8">
        <w:trPr>
          <w:trHeight w:val="340"/>
          <w:jc w:val="center"/>
        </w:trPr>
        <w:tc>
          <w:tcPr>
            <w:tcW w:w="1465" w:type="pct"/>
            <w:shd w:val="clear" w:color="auto" w:fill="F2F2F2" w:themeFill="background1" w:themeFillShade="F2"/>
            <w:vAlign w:val="center"/>
            <w:hideMark/>
          </w:tcPr>
          <w:p w:rsidR="0062238F" w:rsidRPr="006A5E91" w:rsidRDefault="0062238F" w:rsidP="0062238F">
            <w:pPr>
              <w:spacing w:before="60" w:after="60"/>
              <w:jc w:val="left"/>
              <w:rPr>
                <w:b/>
                <w:sz w:val="18"/>
                <w:szCs w:val="16"/>
                <w:bdr w:val="none" w:sz="0" w:space="0" w:color="auto" w:frame="1"/>
                <w:lang w:val="cs-CZ"/>
              </w:rPr>
            </w:pPr>
            <w:r w:rsidRPr="006A5E91">
              <w:rPr>
                <w:b/>
                <w:sz w:val="18"/>
                <w:szCs w:val="16"/>
                <w:bdr w:val="none" w:sz="0" w:space="0" w:color="auto" w:frame="1"/>
              </w:rPr>
              <w:t>Celkem</w:t>
            </w:r>
          </w:p>
        </w:tc>
        <w:tc>
          <w:tcPr>
            <w:tcW w:w="795" w:type="pct"/>
            <w:shd w:val="clear" w:color="auto" w:fill="F2F2F2" w:themeFill="background1" w:themeFillShade="F2"/>
          </w:tcPr>
          <w:p w:rsidR="0062238F" w:rsidRPr="00DF3A6D" w:rsidRDefault="0062238F" w:rsidP="0062238F">
            <w:pPr>
              <w:spacing w:before="60" w:after="60"/>
              <w:jc w:val="right"/>
              <w:rPr>
                <w:b/>
                <w:bCs/>
                <w:color w:val="000000"/>
                <w:sz w:val="18"/>
                <w:szCs w:val="16"/>
              </w:rPr>
            </w:pPr>
          </w:p>
        </w:tc>
        <w:tc>
          <w:tcPr>
            <w:tcW w:w="936" w:type="pct"/>
            <w:shd w:val="clear" w:color="auto" w:fill="F2F2F2" w:themeFill="background1" w:themeFillShade="F2"/>
            <w:vAlign w:val="bottom"/>
          </w:tcPr>
          <w:p w:rsidR="0062238F" w:rsidRPr="006A5E91" w:rsidRDefault="0062238F" w:rsidP="0062238F">
            <w:pPr>
              <w:spacing w:before="60" w:after="60"/>
              <w:jc w:val="right"/>
              <w:rPr>
                <w:sz w:val="18"/>
                <w:szCs w:val="16"/>
                <w:lang w:val="cs-CZ"/>
              </w:rPr>
            </w:pPr>
            <w:r w:rsidRPr="00EC23A6">
              <w:rPr>
                <w:b/>
                <w:bCs/>
                <w:color w:val="000000"/>
                <w:szCs w:val="20"/>
              </w:rPr>
              <w:t>721</w:t>
            </w:r>
          </w:p>
        </w:tc>
        <w:tc>
          <w:tcPr>
            <w:tcW w:w="1010" w:type="pct"/>
            <w:shd w:val="clear" w:color="auto" w:fill="F2F2F2" w:themeFill="background1" w:themeFillShade="F2"/>
            <w:vAlign w:val="bottom"/>
          </w:tcPr>
          <w:p w:rsidR="0062238F" w:rsidRPr="000951CF" w:rsidRDefault="0062238F" w:rsidP="0062238F">
            <w:pPr>
              <w:spacing w:before="60" w:after="60"/>
              <w:jc w:val="right"/>
              <w:rPr>
                <w:b/>
                <w:sz w:val="18"/>
                <w:szCs w:val="16"/>
                <w:lang w:val="cs-CZ"/>
              </w:rPr>
            </w:pPr>
            <w:r w:rsidRPr="00DF2F85">
              <w:rPr>
                <w:b/>
                <w:color w:val="000000"/>
                <w:szCs w:val="20"/>
              </w:rPr>
              <w:t>636,6</w:t>
            </w:r>
          </w:p>
        </w:tc>
        <w:tc>
          <w:tcPr>
            <w:tcW w:w="793" w:type="pct"/>
            <w:shd w:val="clear" w:color="auto" w:fill="F2F2F2" w:themeFill="background1" w:themeFillShade="F2"/>
            <w:vAlign w:val="bottom"/>
          </w:tcPr>
          <w:p w:rsidR="0062238F" w:rsidRPr="000951CF" w:rsidRDefault="0062238F" w:rsidP="0062238F">
            <w:pPr>
              <w:spacing w:before="60" w:after="60"/>
              <w:jc w:val="right"/>
              <w:rPr>
                <w:b/>
                <w:sz w:val="18"/>
                <w:szCs w:val="16"/>
                <w:lang w:val="cs-CZ"/>
              </w:rPr>
            </w:pPr>
            <w:r w:rsidRPr="005E2199">
              <w:rPr>
                <w:b/>
                <w:bCs/>
                <w:color w:val="000000"/>
                <w:szCs w:val="20"/>
              </w:rPr>
              <w:t>111,1%</w:t>
            </w:r>
          </w:p>
        </w:tc>
      </w:tr>
    </w:tbl>
    <w:p w:rsidR="006E03C9" w:rsidRDefault="00EC3F05" w:rsidP="0023748F">
      <w:pPr>
        <w:pStyle w:val="TabulkaNOK-zdroj"/>
        <w:spacing w:before="0" w:after="0"/>
        <w:rPr>
          <w:rFonts w:eastAsia="Calibri"/>
          <w:b/>
          <w:bCs/>
          <w:color w:val="000099"/>
          <w:sz w:val="36"/>
          <w:szCs w:val="28"/>
          <w:bdr w:val="nil"/>
        </w:rPr>
      </w:pPr>
      <w:r w:rsidRPr="00F05040">
        <w:rPr>
          <w:bdr w:val="none" w:sz="0" w:space="0" w:color="auto" w:frame="1"/>
        </w:rPr>
        <w:t>Zdroj: M</w:t>
      </w:r>
      <w:r w:rsidR="0095269D" w:rsidRPr="00F05040">
        <w:rPr>
          <w:bdr w:val="none" w:sz="0" w:space="0" w:color="auto" w:frame="1"/>
        </w:rPr>
        <w:t>S2014+, řídicí orgány, stav k 3</w:t>
      </w:r>
      <w:r w:rsidR="00BC2504">
        <w:rPr>
          <w:bdr w:val="none" w:sz="0" w:space="0" w:color="auto" w:frame="1"/>
        </w:rPr>
        <w:t>0</w:t>
      </w:r>
      <w:r w:rsidR="0095269D" w:rsidRPr="00F05040">
        <w:rPr>
          <w:bdr w:val="none" w:sz="0" w:space="0" w:color="auto" w:frame="1"/>
        </w:rPr>
        <w:t xml:space="preserve">. </w:t>
      </w:r>
      <w:r w:rsidR="00BC2504">
        <w:rPr>
          <w:bdr w:val="none" w:sz="0" w:space="0" w:color="auto" w:frame="1"/>
        </w:rPr>
        <w:t>dubnu</w:t>
      </w:r>
      <w:r w:rsidRPr="00F05040" w:rsidDel="009D257E">
        <w:rPr>
          <w:bdr w:val="none" w:sz="0" w:space="0" w:color="auto" w:frame="1"/>
        </w:rPr>
        <w:t xml:space="preserve"> </w:t>
      </w:r>
      <w:r w:rsidRPr="00F05040">
        <w:rPr>
          <w:bdr w:val="none" w:sz="0" w:space="0" w:color="auto" w:frame="1"/>
        </w:rPr>
        <w:t>2018</w:t>
      </w:r>
      <w:r w:rsidR="006E03C9">
        <w:rPr>
          <w:bdr w:val="nil"/>
        </w:rPr>
        <w:br w:type="page"/>
      </w:r>
    </w:p>
    <w:p w:rsidR="00D01850" w:rsidRDefault="00D01850" w:rsidP="00467721">
      <w:pPr>
        <w:pStyle w:val="Nadpis1"/>
        <w:rPr>
          <w:bdr w:val="nil"/>
        </w:rPr>
      </w:pPr>
      <w:r w:rsidRPr="00D01850">
        <w:rPr>
          <w:bdr w:val="nil"/>
        </w:rPr>
        <w:lastRenderedPageBreak/>
        <w:t>Aktuální stav čerpání programů</w:t>
      </w:r>
      <w:r>
        <w:rPr>
          <w:bdr w:val="nil"/>
        </w:rPr>
        <w:t xml:space="preserve"> období 2014–2020</w:t>
      </w:r>
      <w:bookmarkEnd w:id="2"/>
    </w:p>
    <w:p w:rsidR="00EC3F05" w:rsidRDefault="00EC3F05" w:rsidP="001E50E0">
      <w:pPr>
        <w:rPr>
          <w:b/>
        </w:rPr>
      </w:pPr>
      <w:r>
        <w:t xml:space="preserve">V rámci vyhlášených </w:t>
      </w:r>
      <w:r w:rsidRPr="001438C7">
        <w:t>výzev byly do konce</w:t>
      </w:r>
      <w:r>
        <w:t xml:space="preserve"> </w:t>
      </w:r>
      <w:r w:rsidR="00DE21AB">
        <w:t xml:space="preserve">dubna </w:t>
      </w:r>
      <w:r>
        <w:t xml:space="preserve">2018 </w:t>
      </w:r>
      <w:r>
        <w:rPr>
          <w:b/>
        </w:rPr>
        <w:t>vydány</w:t>
      </w:r>
      <w:r w:rsidRPr="001438C7">
        <w:rPr>
          <w:b/>
        </w:rPr>
        <w:t xml:space="preserve"> právní akty o poskytnutí / převodu podpory </w:t>
      </w:r>
      <w:r w:rsidRPr="009452FB">
        <w:t>v celkové výši</w:t>
      </w:r>
      <w:r>
        <w:rPr>
          <w:b/>
        </w:rPr>
        <w:t xml:space="preserve"> </w:t>
      </w:r>
      <w:r w:rsidR="0062238F">
        <w:rPr>
          <w:b/>
        </w:rPr>
        <w:t>311</w:t>
      </w:r>
      <w:r w:rsidR="004E08DA">
        <w:rPr>
          <w:b/>
        </w:rPr>
        <w:t>,</w:t>
      </w:r>
      <w:r w:rsidR="0062238F">
        <w:rPr>
          <w:b/>
        </w:rPr>
        <w:t>3</w:t>
      </w:r>
      <w:r>
        <w:rPr>
          <w:b/>
        </w:rPr>
        <w:t xml:space="preserve"> mld. Kč, což činí </w:t>
      </w:r>
      <w:r w:rsidR="004E08DA">
        <w:rPr>
          <w:b/>
        </w:rPr>
        <w:t>5</w:t>
      </w:r>
      <w:r w:rsidR="0062238F">
        <w:rPr>
          <w:b/>
        </w:rPr>
        <w:t>4</w:t>
      </w:r>
      <w:r w:rsidR="004E08DA">
        <w:rPr>
          <w:b/>
        </w:rPr>
        <w:t>,</w:t>
      </w:r>
      <w:r w:rsidR="0062238F">
        <w:rPr>
          <w:b/>
        </w:rPr>
        <w:t>3</w:t>
      </w:r>
      <w:r>
        <w:rPr>
          <w:b/>
        </w:rPr>
        <w:t xml:space="preserve"> % hlavní alokace programového období. </w:t>
      </w:r>
      <w:r w:rsidRPr="00814B23">
        <w:rPr>
          <w:b/>
        </w:rPr>
        <w:t>Nejvyšší podíl prostředků</w:t>
      </w:r>
      <w:r w:rsidRPr="00814B23">
        <w:t xml:space="preserve"> ve vydaných právních aktech vzhledem k hlavní alokaci programu vykazuje </w:t>
      </w:r>
      <w:r w:rsidRPr="00814B23">
        <w:rPr>
          <w:b/>
        </w:rPr>
        <w:t>OP</w:t>
      </w:r>
      <w:r w:rsidRPr="006953C0">
        <w:rPr>
          <w:b/>
        </w:rPr>
        <w:t> Zaměstnanost, dále pak OP</w:t>
      </w:r>
      <w:r>
        <w:rPr>
          <w:b/>
        </w:rPr>
        <w:t> </w:t>
      </w:r>
      <w:r w:rsidRPr="006953C0">
        <w:rPr>
          <w:b/>
        </w:rPr>
        <w:t>Technická pomoc a </w:t>
      </w:r>
      <w:r>
        <w:rPr>
          <w:b/>
        </w:rPr>
        <w:t>OP Výzkum, vývoj a vzdělávání</w:t>
      </w:r>
      <w:r w:rsidRPr="006953C0">
        <w:rPr>
          <w:b/>
        </w:rPr>
        <w:t>.</w:t>
      </w:r>
    </w:p>
    <w:p w:rsidR="00244411" w:rsidRPr="000274D2" w:rsidRDefault="00FA7D54">
      <w:pPr>
        <w:rPr>
          <w:sz w:val="16"/>
        </w:rPr>
      </w:pPr>
      <w:r>
        <w:rPr>
          <w:szCs w:val="24"/>
        </w:rPr>
        <w:t>Pro stav právních aktů byla n</w:t>
      </w:r>
      <w:r w:rsidR="00244411" w:rsidRPr="000274D2">
        <w:rPr>
          <w:szCs w:val="24"/>
        </w:rPr>
        <w:t xml:space="preserve">a národní úrovni stanovena pro všechny programy hranice </w:t>
      </w:r>
      <w:r w:rsidR="00244411" w:rsidRPr="000274D2">
        <w:rPr>
          <w:b/>
          <w:szCs w:val="24"/>
        </w:rPr>
        <w:t>65 % hlavní alokace</w:t>
      </w:r>
      <w:r w:rsidR="00FC7154">
        <w:rPr>
          <w:b/>
          <w:szCs w:val="24"/>
        </w:rPr>
        <w:t xml:space="preserve"> programu</w:t>
      </w:r>
      <w:r w:rsidR="00C34280">
        <w:rPr>
          <w:b/>
          <w:szCs w:val="24"/>
        </w:rPr>
        <w:t xml:space="preserve">, </w:t>
      </w:r>
      <w:r w:rsidR="00C34280" w:rsidRPr="000274D2">
        <w:rPr>
          <w:szCs w:val="24"/>
        </w:rPr>
        <w:t>které by mělo být dosaženo</w:t>
      </w:r>
      <w:r w:rsidR="00244411" w:rsidRPr="000274D2">
        <w:rPr>
          <w:szCs w:val="24"/>
        </w:rPr>
        <w:t xml:space="preserve"> ke konci roku 2018. </w:t>
      </w:r>
      <w:r w:rsidR="004E3728">
        <w:rPr>
          <w:szCs w:val="24"/>
        </w:rPr>
        <w:t>P</w:t>
      </w:r>
      <w:r w:rsidR="00244411" w:rsidRPr="000274D2">
        <w:rPr>
          <w:szCs w:val="24"/>
        </w:rPr>
        <w:t>rogram</w:t>
      </w:r>
      <w:r w:rsidR="004E3728">
        <w:rPr>
          <w:szCs w:val="24"/>
        </w:rPr>
        <w:t>y</w:t>
      </w:r>
      <w:r w:rsidR="00244411" w:rsidRPr="000274D2">
        <w:rPr>
          <w:szCs w:val="24"/>
        </w:rPr>
        <w:t>, kter</w:t>
      </w:r>
      <w:r w:rsidR="004E3728">
        <w:rPr>
          <w:szCs w:val="24"/>
        </w:rPr>
        <w:t>é</w:t>
      </w:r>
      <w:r w:rsidR="00244411" w:rsidRPr="000274D2">
        <w:rPr>
          <w:szCs w:val="24"/>
        </w:rPr>
        <w:t xml:space="preserve"> tuto hranici již splnil</w:t>
      </w:r>
      <w:r w:rsidR="004E3728">
        <w:rPr>
          <w:szCs w:val="24"/>
        </w:rPr>
        <w:t>y</w:t>
      </w:r>
      <w:r w:rsidR="0023748F">
        <w:rPr>
          <w:szCs w:val="24"/>
        </w:rPr>
        <w:t>,</w:t>
      </w:r>
      <w:r w:rsidR="00244411" w:rsidRPr="000274D2">
        <w:rPr>
          <w:szCs w:val="24"/>
        </w:rPr>
        <w:t xml:space="preserve"> j</w:t>
      </w:r>
      <w:r w:rsidR="00284046">
        <w:rPr>
          <w:szCs w:val="24"/>
        </w:rPr>
        <w:t>sou</w:t>
      </w:r>
      <w:r w:rsidR="00244411" w:rsidRPr="000274D2">
        <w:rPr>
          <w:szCs w:val="24"/>
        </w:rPr>
        <w:t xml:space="preserve"> OP</w:t>
      </w:r>
      <w:r w:rsidR="004E3728">
        <w:rPr>
          <w:szCs w:val="24"/>
        </w:rPr>
        <w:t> </w:t>
      </w:r>
      <w:r w:rsidR="00244411" w:rsidRPr="000274D2">
        <w:rPr>
          <w:szCs w:val="24"/>
        </w:rPr>
        <w:t>Zaměstnanost</w:t>
      </w:r>
      <w:r w:rsidR="001C4407">
        <w:rPr>
          <w:szCs w:val="24"/>
        </w:rPr>
        <w:t xml:space="preserve"> (7</w:t>
      </w:r>
      <w:r w:rsidR="00226546">
        <w:rPr>
          <w:szCs w:val="24"/>
        </w:rPr>
        <w:t>7,6</w:t>
      </w:r>
      <w:r w:rsidR="001C4407">
        <w:rPr>
          <w:szCs w:val="24"/>
        </w:rPr>
        <w:t xml:space="preserve"> % hlavní alokace programu)</w:t>
      </w:r>
      <w:r w:rsidR="004E3728">
        <w:rPr>
          <w:szCs w:val="24"/>
        </w:rPr>
        <w:t xml:space="preserve"> a OP </w:t>
      </w:r>
      <w:r w:rsidR="004E3728" w:rsidRPr="004E3728">
        <w:rPr>
          <w:szCs w:val="24"/>
        </w:rPr>
        <w:t>Technická pomoc</w:t>
      </w:r>
      <w:r w:rsidR="004E3728">
        <w:rPr>
          <w:szCs w:val="24"/>
        </w:rPr>
        <w:t xml:space="preserve"> (68,7 % hlavní alokace programu)</w:t>
      </w:r>
      <w:r w:rsidR="00244411" w:rsidRPr="000274D2">
        <w:rPr>
          <w:szCs w:val="24"/>
        </w:rPr>
        <w:t>.</w:t>
      </w:r>
    </w:p>
    <w:p w:rsidR="00EC3F05" w:rsidRDefault="00EC3F05">
      <w:r w:rsidRPr="00557C40">
        <w:t>Příjemcům</w:t>
      </w:r>
      <w:r>
        <w:rPr>
          <w:b/>
        </w:rPr>
        <w:t xml:space="preserve"> </w:t>
      </w:r>
      <w:r w:rsidRPr="00557C40">
        <w:t xml:space="preserve">bylo do konce </w:t>
      </w:r>
      <w:r w:rsidR="00BC2504">
        <w:t xml:space="preserve">dubna </w:t>
      </w:r>
      <w:r w:rsidRPr="00557C40">
        <w:t>201</w:t>
      </w:r>
      <w:r>
        <w:t>8</w:t>
      </w:r>
      <w:r>
        <w:rPr>
          <w:b/>
        </w:rPr>
        <w:t xml:space="preserve"> proplaceno </w:t>
      </w:r>
      <w:r w:rsidR="004E08DA">
        <w:rPr>
          <w:b/>
        </w:rPr>
        <w:t>1</w:t>
      </w:r>
      <w:r w:rsidR="0062238F">
        <w:rPr>
          <w:b/>
        </w:rPr>
        <w:t>14</w:t>
      </w:r>
      <w:r w:rsidR="004E08DA">
        <w:rPr>
          <w:b/>
        </w:rPr>
        <w:t>,</w:t>
      </w:r>
      <w:r w:rsidR="0062238F">
        <w:rPr>
          <w:b/>
        </w:rPr>
        <w:t>9</w:t>
      </w:r>
      <w:r w:rsidRPr="009452FB">
        <w:rPr>
          <w:b/>
        </w:rPr>
        <w:t xml:space="preserve"> mld. Kč</w:t>
      </w:r>
      <w:r>
        <w:rPr>
          <w:b/>
        </w:rPr>
        <w:t xml:space="preserve">, tj. </w:t>
      </w:r>
      <w:r w:rsidR="0062238F">
        <w:rPr>
          <w:b/>
        </w:rPr>
        <w:t>20</w:t>
      </w:r>
      <w:r>
        <w:rPr>
          <w:b/>
        </w:rPr>
        <w:t>,</w:t>
      </w:r>
      <w:r w:rsidR="0062238F">
        <w:rPr>
          <w:b/>
        </w:rPr>
        <w:t>1</w:t>
      </w:r>
      <w:r>
        <w:rPr>
          <w:b/>
        </w:rPr>
        <w:t xml:space="preserve"> % hlavní alokace</w:t>
      </w:r>
      <w:r>
        <w:t xml:space="preserve">. Nejvíce prostředků vzhledem k hlavní alokaci programu bylo proplaceno v případě </w:t>
      </w:r>
      <w:r w:rsidRPr="00780A83">
        <w:t>Programu rozvoje venkova</w:t>
      </w:r>
      <w:r w:rsidRPr="00F33262">
        <w:t>,</w:t>
      </w:r>
      <w:r w:rsidRPr="00C84407">
        <w:t xml:space="preserve"> </w:t>
      </w:r>
      <w:r w:rsidRPr="00780A83">
        <w:t>OP</w:t>
      </w:r>
      <w:r>
        <w:t> </w:t>
      </w:r>
      <w:r w:rsidRPr="00780A83">
        <w:t>Zaměstnanost</w:t>
      </w:r>
      <w:r>
        <w:t xml:space="preserve"> a OP</w:t>
      </w:r>
      <w:r w:rsidR="00226546">
        <w:t xml:space="preserve"> Doprava</w:t>
      </w:r>
      <w:r w:rsidRPr="00F33262">
        <w:t xml:space="preserve">. </w:t>
      </w:r>
    </w:p>
    <w:p w:rsidR="00EC3F05" w:rsidRDefault="00EC3F05">
      <w:r>
        <w:rPr>
          <w:b/>
        </w:rPr>
        <w:t>O</w:t>
      </w:r>
      <w:r w:rsidRPr="00780A83">
        <w:rPr>
          <w:b/>
        </w:rPr>
        <w:t>bjem vyúčtovaných prostředků</w:t>
      </w:r>
      <w:r>
        <w:t xml:space="preserve"> v žádostech o platbu ke konci </w:t>
      </w:r>
      <w:r w:rsidR="00BC2504">
        <w:t xml:space="preserve">dubna </w:t>
      </w:r>
      <w:r>
        <w:t xml:space="preserve">2018 </w:t>
      </w:r>
      <w:r w:rsidRPr="00780A83">
        <w:rPr>
          <w:b/>
        </w:rPr>
        <w:t>činil</w:t>
      </w:r>
      <w:r>
        <w:t xml:space="preserve"> </w:t>
      </w:r>
      <w:r w:rsidR="004E08DA">
        <w:rPr>
          <w:b/>
        </w:rPr>
        <w:t>8</w:t>
      </w:r>
      <w:r w:rsidR="0062238F">
        <w:rPr>
          <w:b/>
        </w:rPr>
        <w:t>7</w:t>
      </w:r>
      <w:r w:rsidR="004E08DA">
        <w:rPr>
          <w:b/>
        </w:rPr>
        <w:t>,</w:t>
      </w:r>
      <w:r w:rsidR="0062238F">
        <w:rPr>
          <w:b/>
        </w:rPr>
        <w:t>3</w:t>
      </w:r>
      <w:r>
        <w:t xml:space="preserve"> </w:t>
      </w:r>
      <w:r w:rsidRPr="00BC495E">
        <w:rPr>
          <w:b/>
        </w:rPr>
        <w:t>mld. Kč</w:t>
      </w:r>
      <w:r>
        <w:rPr>
          <w:b/>
        </w:rPr>
        <w:t>, tj. 1</w:t>
      </w:r>
      <w:r w:rsidR="0062238F">
        <w:rPr>
          <w:b/>
        </w:rPr>
        <w:t>5</w:t>
      </w:r>
      <w:r w:rsidR="004E08DA">
        <w:rPr>
          <w:b/>
        </w:rPr>
        <w:t>,</w:t>
      </w:r>
      <w:r w:rsidR="0062238F">
        <w:rPr>
          <w:b/>
        </w:rPr>
        <w:t>2</w:t>
      </w:r>
      <w:r>
        <w:rPr>
          <w:b/>
        </w:rPr>
        <w:t> % hlavní alokace</w:t>
      </w:r>
      <w:r>
        <w:t xml:space="preserve">. </w:t>
      </w:r>
      <w:r w:rsidRPr="00520B19">
        <w:t>K </w:t>
      </w:r>
      <w:r w:rsidRPr="00780A83">
        <w:t>vyúčtování finančních prostředků</w:t>
      </w:r>
      <w:r w:rsidRPr="00520B19">
        <w:t xml:space="preserve"> </w:t>
      </w:r>
      <w:r>
        <w:t xml:space="preserve">vzhledem k hlavní alokaci programu </w:t>
      </w:r>
      <w:r w:rsidRPr="00520B19">
        <w:t xml:space="preserve">došlo </w:t>
      </w:r>
      <w:r>
        <w:t xml:space="preserve">opět nejvíce </w:t>
      </w:r>
      <w:r w:rsidRPr="00520B19">
        <w:t>u</w:t>
      </w:r>
      <w:r>
        <w:t> </w:t>
      </w:r>
      <w:r w:rsidRPr="00780A83">
        <w:t>Programu rozvoje venkova</w:t>
      </w:r>
      <w:r>
        <w:t xml:space="preserve">, OP Technická pomoc a </w:t>
      </w:r>
      <w:r w:rsidRPr="00780A83">
        <w:t>OP</w:t>
      </w:r>
      <w:r>
        <w:t> </w:t>
      </w:r>
      <w:r w:rsidRPr="00780A83">
        <w:t>Zaměstnanost</w:t>
      </w:r>
      <w:r w:rsidRPr="00520B19">
        <w:t>.</w:t>
      </w:r>
      <w:r>
        <w:t xml:space="preserve"> </w:t>
      </w:r>
    </w:p>
    <w:p w:rsidR="00B81D00" w:rsidRPr="00CD1C4D" w:rsidRDefault="00B81D00" w:rsidP="000274D2">
      <w:pPr>
        <w:rPr>
          <w:szCs w:val="24"/>
        </w:rPr>
      </w:pPr>
      <w:r w:rsidRPr="00B81D00">
        <w:rPr>
          <w:szCs w:val="24"/>
        </w:rPr>
        <w:t xml:space="preserve">I pro </w:t>
      </w:r>
      <w:r w:rsidR="00291E78">
        <w:rPr>
          <w:szCs w:val="24"/>
        </w:rPr>
        <w:t xml:space="preserve">stav vyúčtovaných prostředků v žádostech o platbu </w:t>
      </w:r>
      <w:r w:rsidRPr="00B81D00">
        <w:rPr>
          <w:szCs w:val="24"/>
        </w:rPr>
        <w:t>byly na národní úrovni pro letošní</w:t>
      </w:r>
      <w:r w:rsidRPr="00FA7D54">
        <w:rPr>
          <w:szCs w:val="24"/>
        </w:rPr>
        <w:t xml:space="preserve"> rok jednotně stanoveny hranice, kterých by ŘO měly </w:t>
      </w:r>
      <w:r w:rsidRPr="00CD1C4D">
        <w:rPr>
          <w:szCs w:val="24"/>
        </w:rPr>
        <w:t>dosáhnout pro bezpečné naplnění limitu čerpání n+ 3 v letech 2018 a</w:t>
      </w:r>
      <w:r w:rsidR="001E50E0">
        <w:rPr>
          <w:szCs w:val="24"/>
        </w:rPr>
        <w:t> </w:t>
      </w:r>
      <w:r w:rsidRPr="00CD1C4D">
        <w:rPr>
          <w:szCs w:val="24"/>
        </w:rPr>
        <w:t>2019.</w:t>
      </w:r>
    </w:p>
    <w:p w:rsidR="00B81D00" w:rsidRPr="00FC7154" w:rsidRDefault="00B81D00" w:rsidP="000274D2">
      <w:pPr>
        <w:rPr>
          <w:szCs w:val="24"/>
        </w:rPr>
      </w:pPr>
      <w:r w:rsidRPr="00AA1D45">
        <w:rPr>
          <w:szCs w:val="24"/>
        </w:rPr>
        <w:t xml:space="preserve">Hranici </w:t>
      </w:r>
      <w:r w:rsidRPr="00AA1D45">
        <w:rPr>
          <w:b/>
          <w:szCs w:val="24"/>
        </w:rPr>
        <w:t>17 %</w:t>
      </w:r>
      <w:r w:rsidRPr="00CD1C4D">
        <w:rPr>
          <w:b/>
          <w:szCs w:val="24"/>
        </w:rPr>
        <w:t xml:space="preserve"> hlavní alokace ve vyúčtovaných prostředcích</w:t>
      </w:r>
      <w:r w:rsidRPr="00CD1C4D">
        <w:rPr>
          <w:szCs w:val="24"/>
        </w:rPr>
        <w:t xml:space="preserve">, které by </w:t>
      </w:r>
      <w:r w:rsidRPr="000354A1">
        <w:rPr>
          <w:szCs w:val="24"/>
        </w:rPr>
        <w:t xml:space="preserve">mělo být dosaženo do konce října 2018 </w:t>
      </w:r>
      <w:r w:rsidRPr="00CD1C4D">
        <w:rPr>
          <w:szCs w:val="24"/>
        </w:rPr>
        <w:t xml:space="preserve">a zároveň hranici </w:t>
      </w:r>
      <w:r w:rsidRPr="00CD1C4D">
        <w:rPr>
          <w:b/>
          <w:szCs w:val="24"/>
        </w:rPr>
        <w:t>22 %</w:t>
      </w:r>
      <w:r w:rsidRPr="00C34280">
        <w:rPr>
          <w:b/>
          <w:szCs w:val="24"/>
        </w:rPr>
        <w:t xml:space="preserve"> hlavní alokace</w:t>
      </w:r>
      <w:r w:rsidRPr="00C34280">
        <w:rPr>
          <w:szCs w:val="24"/>
        </w:rPr>
        <w:t xml:space="preserve"> do konce roku 2018, splnily k 3</w:t>
      </w:r>
      <w:r w:rsidR="00BC2504">
        <w:rPr>
          <w:szCs w:val="24"/>
        </w:rPr>
        <w:t>0</w:t>
      </w:r>
      <w:r w:rsidRPr="00C34280">
        <w:rPr>
          <w:szCs w:val="24"/>
        </w:rPr>
        <w:t xml:space="preserve">. </w:t>
      </w:r>
      <w:r w:rsidR="00BC2504">
        <w:rPr>
          <w:szCs w:val="24"/>
        </w:rPr>
        <w:t>dubnu</w:t>
      </w:r>
      <w:r w:rsidRPr="00C34280">
        <w:rPr>
          <w:szCs w:val="24"/>
        </w:rPr>
        <w:t xml:space="preserve"> 2018 již čtyři programy – Program rozvoje venkova</w:t>
      </w:r>
      <w:r w:rsidR="00062DC9">
        <w:rPr>
          <w:szCs w:val="24"/>
        </w:rPr>
        <w:t xml:space="preserve"> (</w:t>
      </w:r>
      <w:r w:rsidR="008C626F">
        <w:rPr>
          <w:szCs w:val="24"/>
        </w:rPr>
        <w:t>37,8</w:t>
      </w:r>
      <w:r w:rsidR="00062DC9">
        <w:rPr>
          <w:szCs w:val="24"/>
        </w:rPr>
        <w:t xml:space="preserve"> %)</w:t>
      </w:r>
      <w:r w:rsidRPr="00C34280">
        <w:rPr>
          <w:szCs w:val="24"/>
        </w:rPr>
        <w:t>, OP Technická pomoc</w:t>
      </w:r>
      <w:r w:rsidR="00062DC9">
        <w:rPr>
          <w:szCs w:val="24"/>
        </w:rPr>
        <w:t xml:space="preserve"> (25,</w:t>
      </w:r>
      <w:r w:rsidR="008C626F">
        <w:rPr>
          <w:szCs w:val="24"/>
        </w:rPr>
        <w:t>5</w:t>
      </w:r>
      <w:r w:rsidR="00062DC9">
        <w:rPr>
          <w:szCs w:val="24"/>
        </w:rPr>
        <w:t xml:space="preserve"> %)</w:t>
      </w:r>
      <w:r w:rsidRPr="00C34280">
        <w:rPr>
          <w:szCs w:val="24"/>
        </w:rPr>
        <w:t>,</w:t>
      </w:r>
      <w:r w:rsidRPr="00FC7154">
        <w:rPr>
          <w:szCs w:val="24"/>
        </w:rPr>
        <w:t xml:space="preserve"> OP Zaměstnanost</w:t>
      </w:r>
      <w:r w:rsidR="00062DC9">
        <w:rPr>
          <w:szCs w:val="24"/>
        </w:rPr>
        <w:t xml:space="preserve"> (2</w:t>
      </w:r>
      <w:r w:rsidR="008C626F">
        <w:rPr>
          <w:szCs w:val="24"/>
        </w:rPr>
        <w:t>5,2</w:t>
      </w:r>
      <w:r w:rsidR="00062DC9">
        <w:rPr>
          <w:szCs w:val="24"/>
        </w:rPr>
        <w:t xml:space="preserve"> %)</w:t>
      </w:r>
      <w:r w:rsidRPr="00FC7154">
        <w:rPr>
          <w:szCs w:val="24"/>
        </w:rPr>
        <w:t xml:space="preserve"> a</w:t>
      </w:r>
      <w:r w:rsidR="001E50E0">
        <w:rPr>
          <w:szCs w:val="24"/>
        </w:rPr>
        <w:t> </w:t>
      </w:r>
      <w:r w:rsidRPr="00FC7154">
        <w:rPr>
          <w:szCs w:val="24"/>
        </w:rPr>
        <w:t>OP</w:t>
      </w:r>
      <w:r w:rsidR="001E50E0">
        <w:rPr>
          <w:szCs w:val="24"/>
        </w:rPr>
        <w:t> </w:t>
      </w:r>
      <w:r w:rsidRPr="00FC7154">
        <w:rPr>
          <w:szCs w:val="24"/>
        </w:rPr>
        <w:t>Doprava</w:t>
      </w:r>
      <w:r w:rsidR="00062DC9">
        <w:rPr>
          <w:szCs w:val="24"/>
        </w:rPr>
        <w:t xml:space="preserve"> (22,</w:t>
      </w:r>
      <w:r w:rsidR="008C626F">
        <w:rPr>
          <w:szCs w:val="24"/>
        </w:rPr>
        <w:t>4</w:t>
      </w:r>
      <w:r w:rsidR="00062DC9">
        <w:rPr>
          <w:szCs w:val="24"/>
        </w:rPr>
        <w:t xml:space="preserve"> %)</w:t>
      </w:r>
      <w:r w:rsidRPr="00FC7154">
        <w:rPr>
          <w:szCs w:val="24"/>
        </w:rPr>
        <w:t>.</w:t>
      </w:r>
    </w:p>
    <w:p w:rsidR="006E5B6A" w:rsidRPr="006E6C81" w:rsidRDefault="00EC3F05">
      <w:r>
        <w:t>Do konce</w:t>
      </w:r>
      <w:r w:rsidRPr="006D016E">
        <w:t xml:space="preserve"> </w:t>
      </w:r>
      <w:r w:rsidR="00BC2504">
        <w:t>dubna</w:t>
      </w:r>
      <w:r>
        <w:t xml:space="preserve"> 2018 byly </w:t>
      </w:r>
      <w:r w:rsidRPr="00E94C92">
        <w:rPr>
          <w:b/>
        </w:rPr>
        <w:t xml:space="preserve">odeslány </w:t>
      </w:r>
      <w:r>
        <w:rPr>
          <w:b/>
        </w:rPr>
        <w:t>Evropské komisi (EK)</w:t>
      </w:r>
      <w:r w:rsidRPr="00780A83">
        <w:rPr>
          <w:b/>
        </w:rPr>
        <w:t xml:space="preserve"> žádosti o platbu v</w:t>
      </w:r>
      <w:r>
        <w:rPr>
          <w:b/>
        </w:rPr>
        <w:t> </w:t>
      </w:r>
      <w:r w:rsidRPr="00780A83">
        <w:rPr>
          <w:b/>
        </w:rPr>
        <w:t>hodnotě</w:t>
      </w:r>
      <w:r>
        <w:rPr>
          <w:b/>
        </w:rPr>
        <w:t xml:space="preserve"> </w:t>
      </w:r>
      <w:r w:rsidR="000203E9">
        <w:rPr>
          <w:b/>
        </w:rPr>
        <w:t>7</w:t>
      </w:r>
      <w:r w:rsidR="0062238F">
        <w:rPr>
          <w:b/>
        </w:rPr>
        <w:t>5</w:t>
      </w:r>
      <w:r w:rsidR="000203E9">
        <w:rPr>
          <w:b/>
        </w:rPr>
        <w:t>,</w:t>
      </w:r>
      <w:r w:rsidR="0062238F">
        <w:rPr>
          <w:b/>
        </w:rPr>
        <w:t>2</w:t>
      </w:r>
      <w:r>
        <w:rPr>
          <w:b/>
        </w:rPr>
        <w:t> </w:t>
      </w:r>
      <w:r w:rsidRPr="00AD62EE">
        <w:rPr>
          <w:b/>
        </w:rPr>
        <w:t>mld. Kč</w:t>
      </w:r>
      <w:r>
        <w:rPr>
          <w:b/>
        </w:rPr>
        <w:t>, tj. 1</w:t>
      </w:r>
      <w:r w:rsidR="000203E9">
        <w:rPr>
          <w:b/>
        </w:rPr>
        <w:t>2,</w:t>
      </w:r>
      <w:r w:rsidR="0062238F">
        <w:rPr>
          <w:b/>
        </w:rPr>
        <w:t>7</w:t>
      </w:r>
      <w:r>
        <w:rPr>
          <w:b/>
        </w:rPr>
        <w:t> % hlavní alokace</w:t>
      </w:r>
      <w:r w:rsidR="00B263D6">
        <w:t>.</w:t>
      </w:r>
      <w:r w:rsidR="006E6C81">
        <w:t xml:space="preserve"> </w:t>
      </w:r>
    </w:p>
    <w:p w:rsidR="006E5B6A" w:rsidRDefault="006E5B6A" w:rsidP="00F05040">
      <w:pPr>
        <w:pStyle w:val="Titulektabulky"/>
        <w:spacing w:after="0" w:line="240" w:lineRule="auto"/>
      </w:pPr>
      <w:r w:rsidRPr="00E61D9D">
        <w:lastRenderedPageBreak/>
        <w:t>Graf č.</w:t>
      </w:r>
      <w:r>
        <w:t xml:space="preserve"> 1</w:t>
      </w:r>
      <w:r w:rsidRPr="00E61D9D">
        <w:t xml:space="preserve"> – Stav č</w:t>
      </w:r>
      <w:r>
        <w:t>erpání Dohody o partnerství ke dni </w:t>
      </w:r>
      <w:r w:rsidR="0095269D">
        <w:t>3</w:t>
      </w:r>
      <w:r w:rsidR="00DE21AB">
        <w:t>0</w:t>
      </w:r>
      <w:r>
        <w:t xml:space="preserve">. </w:t>
      </w:r>
      <w:r w:rsidR="00DE21AB">
        <w:t>dubna</w:t>
      </w:r>
      <w:r w:rsidR="00D67180">
        <w:t xml:space="preserve"> </w:t>
      </w:r>
      <w:r w:rsidRPr="00E61D9D">
        <w:t>201</w:t>
      </w:r>
      <w:r w:rsidR="00013558">
        <w:t>8</w:t>
      </w:r>
      <w:r w:rsidRPr="00E61D9D">
        <w:t xml:space="preserve"> (v mld. K</w:t>
      </w:r>
      <w:r>
        <w:t>č</w:t>
      </w:r>
      <w:r w:rsidRPr="00E61D9D">
        <w:t>)</w:t>
      </w:r>
    </w:p>
    <w:p w:rsidR="006E5B6A" w:rsidRDefault="0062238F" w:rsidP="00F05040">
      <w:pPr>
        <w:pStyle w:val="Titulektabulky"/>
        <w:spacing w:before="0" w:after="0"/>
      </w:pPr>
      <w:r w:rsidRPr="00E02A63">
        <w:rPr>
          <w:noProof/>
        </w:rPr>
        <w:drawing>
          <wp:inline distT="0" distB="0" distL="0" distR="0">
            <wp:extent cx="6202526" cy="446567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09266" cy="4470527"/>
                    </a:xfrm>
                    <a:prstGeom prst="rect">
                      <a:avLst/>
                    </a:prstGeom>
                    <a:noFill/>
                    <a:ln>
                      <a:noFill/>
                    </a:ln>
                  </pic:spPr>
                </pic:pic>
              </a:graphicData>
            </a:graphic>
          </wp:inline>
        </w:drawing>
      </w:r>
    </w:p>
    <w:p w:rsidR="006E5B6A" w:rsidRDefault="006E5B6A" w:rsidP="00F05040">
      <w:pPr>
        <w:pStyle w:val="TabulkaNOK-zdroj"/>
        <w:spacing w:before="0"/>
        <w:rPr>
          <w:u w:color="000000"/>
          <w:bdr w:val="nil"/>
        </w:rPr>
      </w:pPr>
      <w:r w:rsidRPr="0032629D">
        <w:rPr>
          <w:u w:color="000000"/>
          <w:bdr w:val="nil"/>
        </w:rPr>
        <w:t>Zdroj: MS2014+,</w:t>
      </w:r>
      <w:r>
        <w:rPr>
          <w:u w:color="000000"/>
          <w:bdr w:val="nil"/>
        </w:rPr>
        <w:t xml:space="preserve"> řídicí orgány,</w:t>
      </w:r>
      <w:r w:rsidRPr="0032629D">
        <w:rPr>
          <w:u w:color="000000"/>
          <w:bdr w:val="nil"/>
        </w:rPr>
        <w:t xml:space="preserve"> stav k</w:t>
      </w:r>
      <w:r>
        <w:rPr>
          <w:u w:color="000000"/>
          <w:bdr w:val="nil"/>
        </w:rPr>
        <w:t>e dni </w:t>
      </w:r>
      <w:r w:rsidR="0095269D">
        <w:rPr>
          <w:u w:color="000000"/>
          <w:bdr w:val="nil"/>
        </w:rPr>
        <w:t>3</w:t>
      </w:r>
      <w:r w:rsidR="00DE21AB">
        <w:rPr>
          <w:u w:color="000000"/>
          <w:bdr w:val="nil"/>
        </w:rPr>
        <w:t>0</w:t>
      </w:r>
      <w:r>
        <w:rPr>
          <w:u w:color="000000"/>
          <w:bdr w:val="nil"/>
        </w:rPr>
        <w:t xml:space="preserve">. </w:t>
      </w:r>
      <w:r w:rsidR="00DE21AB">
        <w:rPr>
          <w:u w:color="000000"/>
          <w:bdr w:val="nil"/>
        </w:rPr>
        <w:t>dubna</w:t>
      </w:r>
      <w:r w:rsidR="00D67180">
        <w:rPr>
          <w:u w:color="000000"/>
          <w:bdr w:val="nil"/>
        </w:rPr>
        <w:t xml:space="preserve"> </w:t>
      </w:r>
      <w:r w:rsidRPr="0032629D">
        <w:rPr>
          <w:u w:color="000000"/>
          <w:bdr w:val="nil"/>
        </w:rPr>
        <w:t>201</w:t>
      </w:r>
      <w:r w:rsidR="00013558">
        <w:rPr>
          <w:u w:color="000000"/>
          <w:bdr w:val="nil"/>
        </w:rPr>
        <w:t>8</w:t>
      </w:r>
      <w:r>
        <w:rPr>
          <w:u w:color="000000"/>
          <w:bdr w:val="nil"/>
        </w:rPr>
        <w:t>, kurz 1 EUR = 2</w:t>
      </w:r>
      <w:r w:rsidR="00A76F62">
        <w:rPr>
          <w:u w:color="000000"/>
          <w:bdr w:val="nil"/>
        </w:rPr>
        <w:t>5,</w:t>
      </w:r>
      <w:r w:rsidR="0062238F">
        <w:rPr>
          <w:u w:color="000000"/>
          <w:bdr w:val="nil"/>
        </w:rPr>
        <w:t>462</w:t>
      </w:r>
      <w:r w:rsidR="00D67180">
        <w:rPr>
          <w:u w:color="000000"/>
          <w:bdr w:val="nil"/>
        </w:rPr>
        <w:t xml:space="preserve"> </w:t>
      </w:r>
      <w:r>
        <w:rPr>
          <w:u w:color="000000"/>
          <w:bdr w:val="nil"/>
        </w:rPr>
        <w:t>Kč</w:t>
      </w:r>
    </w:p>
    <w:p w:rsidR="006E5B6A" w:rsidRPr="00FF7FE9" w:rsidRDefault="00EC3F05" w:rsidP="00F05040">
      <w:pPr>
        <w:tabs>
          <w:tab w:val="left" w:pos="7200"/>
        </w:tabs>
        <w:spacing w:before="360"/>
      </w:pPr>
      <w:r>
        <w:t xml:space="preserve">Graf výše znázorňuje aktuální stav čerpání </w:t>
      </w:r>
      <w:r w:rsidR="0095269D">
        <w:t>k 3</w:t>
      </w:r>
      <w:r w:rsidR="00DE21AB">
        <w:t>0</w:t>
      </w:r>
      <w:r w:rsidR="0095269D">
        <w:t xml:space="preserve">. </w:t>
      </w:r>
      <w:r w:rsidR="0062238F">
        <w:t>dubnu</w:t>
      </w:r>
      <w:r>
        <w:t xml:space="preserve"> 2018 v základních sledovaných finančních stavech na úrovni Dohody o partnerství. V tabulkách č. 2 a 3 (níže) je uveden stav čerpání za jednotlivé programy</w:t>
      </w:r>
      <w:r w:rsidR="006E5B6A">
        <w:t>.</w:t>
      </w:r>
    </w:p>
    <w:p w:rsidR="00EC3F05" w:rsidRPr="00F05040" w:rsidRDefault="00EC3F05" w:rsidP="00F05040">
      <w:pPr>
        <w:pStyle w:val="Titulektabulky"/>
        <w:spacing w:after="0"/>
      </w:pPr>
      <w:r w:rsidRPr="00F05040">
        <w:lastRenderedPageBreak/>
        <w:t>Tabulka č. 2 – Stav čerpání programů v programov</w:t>
      </w:r>
      <w:r w:rsidR="0095269D" w:rsidRPr="00F05040">
        <w:t>ém období 2014–2020 – k 3</w:t>
      </w:r>
      <w:r w:rsidR="00DE21AB">
        <w:t>0</w:t>
      </w:r>
      <w:r w:rsidR="00CD46C1" w:rsidRPr="00F05040">
        <w:t xml:space="preserve">. </w:t>
      </w:r>
      <w:r w:rsidR="0023748F">
        <w:t>dubnu</w:t>
      </w:r>
      <w:r w:rsidRPr="00F05040">
        <w:t xml:space="preserve"> 2018 (Příspěvek Unie)</w:t>
      </w:r>
    </w:p>
    <w:tbl>
      <w:tblPr>
        <w:tblW w:w="4979" w:type="pct"/>
        <w:tblCellMar>
          <w:left w:w="70" w:type="dxa"/>
          <w:right w:w="70" w:type="dxa"/>
        </w:tblCellMar>
        <w:tblLook w:val="04A0"/>
      </w:tblPr>
      <w:tblGrid>
        <w:gridCol w:w="1422"/>
        <w:gridCol w:w="1105"/>
        <w:gridCol w:w="1082"/>
        <w:gridCol w:w="49"/>
        <w:gridCol w:w="1032"/>
        <w:gridCol w:w="99"/>
        <w:gridCol w:w="983"/>
        <w:gridCol w:w="983"/>
        <w:gridCol w:w="35"/>
        <w:gridCol w:w="1020"/>
        <w:gridCol w:w="79"/>
        <w:gridCol w:w="940"/>
        <w:gridCol w:w="79"/>
        <w:gridCol w:w="942"/>
      </w:tblGrid>
      <w:tr w:rsidR="004E3BB8" w:rsidRPr="002F4D2C" w:rsidTr="004E3BB8">
        <w:trPr>
          <w:cantSplit/>
          <w:trHeight w:val="750"/>
        </w:trPr>
        <w:tc>
          <w:tcPr>
            <w:tcW w:w="722" w:type="pct"/>
            <w:vMerge w:val="restart"/>
            <w:tcBorders>
              <w:top w:val="single" w:sz="4" w:space="0" w:color="auto"/>
              <w:left w:val="single" w:sz="4" w:space="0" w:color="auto"/>
              <w:bottom w:val="single" w:sz="8" w:space="0" w:color="000000"/>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Program</w:t>
            </w:r>
          </w:p>
        </w:tc>
        <w:tc>
          <w:tcPr>
            <w:tcW w:w="561" w:type="pct"/>
            <w:vMerge w:val="restart"/>
            <w:tcBorders>
              <w:top w:val="single" w:sz="4" w:space="0" w:color="auto"/>
              <w:left w:val="single" w:sz="4" w:space="0" w:color="auto"/>
              <w:right w:val="single" w:sz="4" w:space="0" w:color="auto"/>
            </w:tcBorders>
            <w:shd w:val="clear" w:color="000000" w:fill="000099"/>
            <w:vAlign w:val="center"/>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Fond</w:t>
            </w:r>
          </w:p>
        </w:tc>
        <w:tc>
          <w:tcPr>
            <w:tcW w:w="1647" w:type="pct"/>
            <w:gridSpan w:val="5"/>
            <w:tcBorders>
              <w:top w:val="single" w:sz="4" w:space="0" w:color="auto"/>
              <w:left w:val="single" w:sz="4" w:space="0" w:color="auto"/>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Finanční prostředky v právních aktech o poskytnutí / převodu podpory</w:t>
            </w:r>
          </w:p>
        </w:tc>
        <w:tc>
          <w:tcPr>
            <w:tcW w:w="1075" w:type="pct"/>
            <w:gridSpan w:val="4"/>
            <w:tcBorders>
              <w:top w:val="single" w:sz="4" w:space="0" w:color="auto"/>
              <w:left w:val="single" w:sz="4" w:space="0" w:color="auto"/>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Finanční prostředky v proplacených žádostech o platbu</w:t>
            </w:r>
          </w:p>
        </w:tc>
        <w:tc>
          <w:tcPr>
            <w:tcW w:w="995" w:type="pct"/>
            <w:gridSpan w:val="3"/>
            <w:tcBorders>
              <w:top w:val="single" w:sz="4" w:space="0" w:color="auto"/>
              <w:left w:val="single" w:sz="4" w:space="0" w:color="auto"/>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Finanční prostředky vyúčtované v žádostech o platbu</w:t>
            </w:r>
          </w:p>
        </w:tc>
      </w:tr>
      <w:tr w:rsidR="004E3BB8" w:rsidRPr="002F4D2C" w:rsidTr="004E3BB8">
        <w:trPr>
          <w:cantSplit/>
          <w:trHeight w:val="522"/>
        </w:trPr>
        <w:tc>
          <w:tcPr>
            <w:tcW w:w="722" w:type="pct"/>
            <w:vMerge/>
            <w:tcBorders>
              <w:top w:val="single" w:sz="8" w:space="0" w:color="auto"/>
              <w:left w:val="single" w:sz="4" w:space="0" w:color="auto"/>
              <w:bottom w:val="single" w:sz="4" w:space="0" w:color="auto"/>
              <w:right w:val="single" w:sz="4" w:space="0" w:color="auto"/>
            </w:tcBorders>
            <w:vAlign w:val="center"/>
            <w:hideMark/>
          </w:tcPr>
          <w:p w:rsidR="00EC3F05" w:rsidRPr="002F4D2C" w:rsidRDefault="00EC3F05" w:rsidP="00EC3F05">
            <w:pPr>
              <w:keepNext/>
              <w:keepLines/>
              <w:spacing w:after="0" w:line="240" w:lineRule="auto"/>
              <w:jc w:val="left"/>
              <w:rPr>
                <w:rFonts w:eastAsia="Times New Roman"/>
                <w:b/>
                <w:bCs/>
                <w:color w:val="FFFFFF"/>
                <w:sz w:val="18"/>
                <w:szCs w:val="18"/>
              </w:rPr>
            </w:pPr>
          </w:p>
        </w:tc>
        <w:tc>
          <w:tcPr>
            <w:tcW w:w="561" w:type="pct"/>
            <w:vMerge/>
            <w:tcBorders>
              <w:left w:val="single" w:sz="4" w:space="0" w:color="auto"/>
              <w:bottom w:val="single" w:sz="4" w:space="0" w:color="auto"/>
              <w:right w:val="single" w:sz="4" w:space="0" w:color="auto"/>
            </w:tcBorders>
            <w:shd w:val="clear" w:color="000000" w:fill="000099"/>
          </w:tcPr>
          <w:p w:rsidR="00EC3F05" w:rsidRPr="002F4D2C" w:rsidRDefault="00EC3F05" w:rsidP="00EC3F05">
            <w:pPr>
              <w:keepNext/>
              <w:keepLines/>
              <w:spacing w:after="0" w:line="240" w:lineRule="auto"/>
              <w:jc w:val="center"/>
              <w:rPr>
                <w:rFonts w:eastAsia="Times New Roman"/>
                <w:b/>
                <w:bCs/>
                <w:color w:val="FFFFFF"/>
                <w:sz w:val="18"/>
                <w:szCs w:val="18"/>
              </w:rPr>
            </w:pPr>
          </w:p>
        </w:tc>
        <w:tc>
          <w:tcPr>
            <w:tcW w:w="574" w:type="pct"/>
            <w:gridSpan w:val="2"/>
            <w:tcBorders>
              <w:top w:val="nil"/>
              <w:left w:val="single" w:sz="4" w:space="0" w:color="auto"/>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Počet*</w:t>
            </w:r>
          </w:p>
        </w:tc>
        <w:tc>
          <w:tcPr>
            <w:tcW w:w="574" w:type="pct"/>
            <w:gridSpan w:val="2"/>
            <w:tcBorders>
              <w:top w:val="nil"/>
              <w:left w:val="nil"/>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 xml:space="preserve">mld. Kč </w:t>
            </w:r>
          </w:p>
        </w:tc>
        <w:tc>
          <w:tcPr>
            <w:tcW w:w="499" w:type="pct"/>
            <w:tcBorders>
              <w:top w:val="nil"/>
              <w:left w:val="nil"/>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 hlavní alokace</w:t>
            </w:r>
          </w:p>
        </w:tc>
        <w:tc>
          <w:tcPr>
            <w:tcW w:w="499" w:type="pct"/>
            <w:tcBorders>
              <w:top w:val="nil"/>
              <w:left w:val="nil"/>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 xml:space="preserve">mld. Kč </w:t>
            </w:r>
          </w:p>
        </w:tc>
        <w:tc>
          <w:tcPr>
            <w:tcW w:w="576" w:type="pct"/>
            <w:gridSpan w:val="3"/>
            <w:tcBorders>
              <w:top w:val="nil"/>
              <w:left w:val="nil"/>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 hlavní alokace</w:t>
            </w:r>
          </w:p>
        </w:tc>
        <w:tc>
          <w:tcPr>
            <w:tcW w:w="517" w:type="pct"/>
            <w:gridSpan w:val="2"/>
            <w:tcBorders>
              <w:top w:val="nil"/>
              <w:left w:val="single" w:sz="4" w:space="0" w:color="auto"/>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 xml:space="preserve">mld. Kč </w:t>
            </w:r>
          </w:p>
        </w:tc>
        <w:tc>
          <w:tcPr>
            <w:tcW w:w="478" w:type="pct"/>
            <w:tcBorders>
              <w:top w:val="nil"/>
              <w:left w:val="nil"/>
              <w:bottom w:val="single" w:sz="4" w:space="0" w:color="auto"/>
              <w:right w:val="single" w:sz="4" w:space="0" w:color="auto"/>
            </w:tcBorders>
            <w:shd w:val="clear" w:color="000000" w:fill="000099"/>
            <w:vAlign w:val="center"/>
            <w:hideMark/>
          </w:tcPr>
          <w:p w:rsidR="00EC3F05" w:rsidRPr="002F4D2C" w:rsidRDefault="00EC3F05" w:rsidP="00EC3F05">
            <w:pPr>
              <w:keepNext/>
              <w:keepLines/>
              <w:spacing w:after="0" w:line="240" w:lineRule="auto"/>
              <w:jc w:val="center"/>
              <w:rPr>
                <w:rFonts w:eastAsia="Times New Roman"/>
                <w:b/>
                <w:bCs/>
                <w:color w:val="FFFFFF"/>
                <w:sz w:val="18"/>
                <w:szCs w:val="18"/>
              </w:rPr>
            </w:pPr>
            <w:r w:rsidRPr="002F4D2C">
              <w:rPr>
                <w:rFonts w:eastAsia="Times New Roman"/>
                <w:b/>
                <w:bCs/>
                <w:color w:val="FFFFFF"/>
                <w:sz w:val="18"/>
                <w:szCs w:val="18"/>
              </w:rPr>
              <w:t>% hlavní alokace</w:t>
            </w:r>
          </w:p>
        </w:tc>
      </w:tr>
      <w:tr w:rsidR="004E3BB8" w:rsidRPr="002F4D2C" w:rsidTr="004E3BB8">
        <w:trPr>
          <w:cantSplit/>
          <w:trHeight w:val="414"/>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PIK</w:t>
            </w:r>
            <w:r>
              <w:rPr>
                <w:rFonts w:eastAsia="Times New Roman"/>
                <w:color w:val="000000"/>
                <w:sz w:val="18"/>
                <w:szCs w:val="18"/>
              </w:rPr>
              <w:t xml:space="preserve"> (MPO)</w:t>
            </w:r>
          </w:p>
        </w:tc>
        <w:tc>
          <w:tcPr>
            <w:tcW w:w="561" w:type="pct"/>
            <w:tcBorders>
              <w:top w:val="single" w:sz="4" w:space="0" w:color="auto"/>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4 791</w:t>
            </w:r>
          </w:p>
        </w:tc>
        <w:tc>
          <w:tcPr>
            <w:tcW w:w="549" w:type="pct"/>
            <w:gridSpan w:val="2"/>
            <w:tcBorders>
              <w:top w:val="single" w:sz="4" w:space="0" w:color="auto"/>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45,9</w:t>
            </w:r>
          </w:p>
        </w:tc>
        <w:tc>
          <w:tcPr>
            <w:tcW w:w="549" w:type="pct"/>
            <w:gridSpan w:val="2"/>
            <w:tcBorders>
              <w:top w:val="single" w:sz="4" w:space="0" w:color="auto"/>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44,2 %</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10,0 %</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7,7</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7,4 %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VVV</w:t>
            </w:r>
            <w:r>
              <w:rPr>
                <w:rFonts w:eastAsia="Times New Roman"/>
                <w:color w:val="000000"/>
                <w:sz w:val="18"/>
                <w:szCs w:val="18"/>
              </w:rPr>
              <w:t xml:space="preserve"> (MŠMT)</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EFRR+ESF</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6 990</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41,6</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62,7 %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14,9</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22,5 %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5,0</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7,5 %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Z</w:t>
            </w:r>
            <w:r>
              <w:rPr>
                <w:rFonts w:eastAsia="Times New Roman"/>
                <w:color w:val="000000"/>
                <w:sz w:val="18"/>
                <w:szCs w:val="18"/>
              </w:rPr>
              <w:t xml:space="preserve"> (MPSV)</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ESF (+YEI)</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3 880</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40,1</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77,6 %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17,3</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33,5 %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13,0</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25,2 %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D</w:t>
            </w:r>
            <w:r>
              <w:rPr>
                <w:rFonts w:eastAsia="Times New Roman"/>
                <w:color w:val="000000"/>
                <w:sz w:val="18"/>
                <w:szCs w:val="18"/>
              </w:rPr>
              <w:t xml:space="preserve"> (MD)</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EFRR+FS</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100</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60,3</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55,1 %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31,0</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28,3 %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24,5</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22,4 %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ŽP</w:t>
            </w:r>
            <w:r>
              <w:rPr>
                <w:rFonts w:eastAsia="Times New Roman"/>
                <w:color w:val="000000"/>
                <w:sz w:val="18"/>
                <w:szCs w:val="18"/>
              </w:rPr>
              <w:t xml:space="preserve"> (MŽP)</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EFRR+FS</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4 070</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30,8</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48,1 %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10,0</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15,6 %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7,8</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12,2 %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IROP</w:t>
            </w:r>
            <w:r>
              <w:rPr>
                <w:rFonts w:eastAsia="Times New Roman"/>
                <w:color w:val="000000"/>
                <w:sz w:val="18"/>
                <w:szCs w:val="18"/>
              </w:rPr>
              <w:t xml:space="preserve"> (MMR)</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3 665</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57,9</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52,1 %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6,2</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5,6 %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6,7</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6,0 %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PPR</w:t>
            </w:r>
            <w:r>
              <w:rPr>
                <w:rFonts w:eastAsia="Times New Roman"/>
                <w:color w:val="000000"/>
                <w:sz w:val="18"/>
                <w:szCs w:val="18"/>
              </w:rPr>
              <w:t xml:space="preserve"> (HMP)</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EFRR+ESF</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303</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2,1</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43,4 %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0,8</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16,8 %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0,2</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4,7 %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TP</w:t>
            </w:r>
            <w:r>
              <w:rPr>
                <w:rFonts w:eastAsia="Times New Roman"/>
                <w:color w:val="000000"/>
                <w:sz w:val="18"/>
                <w:szCs w:val="18"/>
              </w:rPr>
              <w:t xml:space="preserve"> (MMR)</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FS</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111</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3,7</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68,7 %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1,5</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27,4 %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1,4</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25,5 %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PRV</w:t>
            </w:r>
            <w:r>
              <w:rPr>
                <w:rFonts w:eastAsia="Times New Roman"/>
                <w:color w:val="000000"/>
                <w:sz w:val="18"/>
                <w:szCs w:val="18"/>
              </w:rPr>
              <w:t xml:space="preserve"> (MZe)</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sz w:val="18"/>
                <w:szCs w:val="18"/>
              </w:rPr>
            </w:pPr>
            <w:r w:rsidRPr="002F4D2C">
              <w:rPr>
                <w:sz w:val="18"/>
                <w:szCs w:val="18"/>
              </w:rPr>
              <w:t>E</w:t>
            </w:r>
            <w:r>
              <w:rPr>
                <w:sz w:val="18"/>
                <w:szCs w:val="18"/>
              </w:rPr>
              <w:t>AFRD</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133 318</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28,7</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51,8 %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22,6</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40,9 %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20,9</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37,8 %</w:t>
            </w:r>
          </w:p>
        </w:tc>
      </w:tr>
      <w:tr w:rsidR="004E3BB8" w:rsidRPr="002F4D2C" w:rsidTr="004E3BB8">
        <w:trPr>
          <w:cantSplit/>
          <w:trHeight w:val="414"/>
        </w:trPr>
        <w:tc>
          <w:tcPr>
            <w:tcW w:w="722" w:type="pct"/>
            <w:tcBorders>
              <w:top w:val="nil"/>
              <w:left w:val="single" w:sz="4" w:space="0" w:color="auto"/>
              <w:bottom w:val="single" w:sz="4" w:space="0" w:color="auto"/>
              <w:right w:val="single" w:sz="4" w:space="0" w:color="auto"/>
            </w:tcBorders>
            <w:shd w:val="clear" w:color="auto" w:fill="auto"/>
            <w:vAlign w:val="center"/>
            <w:hideMark/>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OP R</w:t>
            </w:r>
            <w:r>
              <w:rPr>
                <w:rFonts w:eastAsia="Times New Roman"/>
                <w:color w:val="000000"/>
                <w:sz w:val="18"/>
                <w:szCs w:val="18"/>
              </w:rPr>
              <w:t xml:space="preserve"> (MZe)</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color w:val="000000"/>
                <w:sz w:val="18"/>
                <w:szCs w:val="18"/>
              </w:rPr>
              <w:t>ENRF</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rFonts w:eastAsia="Times New Roman"/>
                <w:sz w:val="18"/>
                <w:szCs w:val="18"/>
              </w:rPr>
            </w:pPr>
            <w:r w:rsidRPr="00DF2F85">
              <w:rPr>
                <w:color w:val="000000"/>
                <w:sz w:val="18"/>
                <w:szCs w:val="18"/>
              </w:rPr>
              <w:t>318</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0,2</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33,2 %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0,1</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0,1</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10,8 %</w:t>
            </w:r>
          </w:p>
        </w:tc>
      </w:tr>
      <w:tr w:rsidR="004E3BB8" w:rsidRPr="002F4D2C" w:rsidTr="004E3BB8">
        <w:trPr>
          <w:cantSplit/>
          <w:trHeight w:val="414"/>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4E3BB8" w:rsidRPr="00DF2F85" w:rsidRDefault="004E3BB8" w:rsidP="0062238F">
            <w:pPr>
              <w:keepNext/>
              <w:keepLines/>
              <w:spacing w:after="0" w:line="240" w:lineRule="auto"/>
              <w:jc w:val="right"/>
              <w:rPr>
                <w:color w:val="000000"/>
                <w:sz w:val="18"/>
                <w:szCs w:val="18"/>
              </w:rPr>
            </w:pPr>
          </w:p>
        </w:tc>
      </w:tr>
      <w:tr w:rsidR="004E3BB8" w:rsidRPr="002F4D2C" w:rsidTr="004E3BB8">
        <w:trPr>
          <w:cantSplit/>
          <w:trHeight w:val="414"/>
        </w:trPr>
        <w:tc>
          <w:tcPr>
            <w:tcW w:w="722" w:type="pct"/>
            <w:vMerge w:val="restart"/>
            <w:tcBorders>
              <w:top w:val="nil"/>
              <w:left w:val="single" w:sz="4" w:space="0" w:color="auto"/>
              <w:right w:val="single" w:sz="4" w:space="0" w:color="auto"/>
            </w:tcBorders>
            <w:shd w:val="clear" w:color="auto" w:fill="auto"/>
            <w:vAlign w:val="center"/>
          </w:tcPr>
          <w:p w:rsidR="0062238F" w:rsidRPr="002F4D2C" w:rsidRDefault="0062238F" w:rsidP="0062238F">
            <w:pPr>
              <w:keepNext/>
              <w:keepLines/>
              <w:spacing w:after="0" w:line="240" w:lineRule="auto"/>
              <w:jc w:val="left"/>
              <w:rPr>
                <w:rFonts w:eastAsia="Times New Roman"/>
                <w:color w:val="000000"/>
                <w:sz w:val="18"/>
                <w:szCs w:val="18"/>
              </w:rPr>
            </w:pPr>
            <w:r w:rsidRPr="002F4D2C">
              <w:rPr>
                <w:rFonts w:eastAsia="Times New Roman"/>
                <w:color w:val="000000"/>
                <w:sz w:val="18"/>
                <w:szCs w:val="18"/>
              </w:rPr>
              <w:t>Celkem</w:t>
            </w: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EFRR</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9 496</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141,3</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49,4 %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30,7</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10,7 %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21,6</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7,5 %</w:t>
            </w:r>
          </w:p>
        </w:tc>
      </w:tr>
      <w:tr w:rsidR="004E3BB8" w:rsidRPr="002F4D2C" w:rsidTr="004E3BB8">
        <w:trPr>
          <w:cantSplit/>
          <w:trHeight w:val="414"/>
        </w:trPr>
        <w:tc>
          <w:tcPr>
            <w:tcW w:w="722" w:type="pct"/>
            <w:vMerge/>
            <w:tcBorders>
              <w:left w:val="single" w:sz="4" w:space="0" w:color="auto"/>
              <w:right w:val="single" w:sz="4" w:space="0" w:color="auto"/>
            </w:tcBorders>
            <w:shd w:val="clear" w:color="auto" w:fill="auto"/>
            <w:vAlign w:val="center"/>
          </w:tcPr>
          <w:p w:rsidR="0062238F" w:rsidRPr="002F4D2C" w:rsidRDefault="0062238F" w:rsidP="0062238F">
            <w:pPr>
              <w:keepNext/>
              <w:keepLines/>
              <w:spacing w:after="0" w:line="240" w:lineRule="auto"/>
              <w:jc w:val="left"/>
              <w:rPr>
                <w:rFonts w:eastAsia="Times New Roman"/>
                <w:color w:val="000000"/>
                <w:sz w:val="18"/>
                <w:szCs w:val="18"/>
              </w:rPr>
            </w:pP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FS</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3 612</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85,7</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58,0 %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37,1</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25,1 %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29,4</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19,9 %</w:t>
            </w:r>
          </w:p>
        </w:tc>
      </w:tr>
      <w:tr w:rsidR="004E3BB8" w:rsidRPr="002F4D2C" w:rsidTr="004E3BB8">
        <w:trPr>
          <w:cantSplit/>
          <w:trHeight w:val="414"/>
        </w:trPr>
        <w:tc>
          <w:tcPr>
            <w:tcW w:w="722" w:type="pct"/>
            <w:vMerge/>
            <w:tcBorders>
              <w:left w:val="single" w:sz="4" w:space="0" w:color="auto"/>
              <w:right w:val="single" w:sz="4" w:space="0" w:color="auto"/>
            </w:tcBorders>
            <w:shd w:val="clear" w:color="auto" w:fill="auto"/>
            <w:vAlign w:val="center"/>
          </w:tcPr>
          <w:p w:rsidR="0062238F" w:rsidRPr="002F4D2C" w:rsidRDefault="0062238F" w:rsidP="0062238F">
            <w:pPr>
              <w:keepNext/>
              <w:keepLines/>
              <w:spacing w:after="0" w:line="240" w:lineRule="auto"/>
              <w:jc w:val="left"/>
              <w:rPr>
                <w:rFonts w:eastAsia="Times New Roman"/>
                <w:color w:val="000000"/>
                <w:sz w:val="18"/>
                <w:szCs w:val="18"/>
              </w:rPr>
            </w:pP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rFonts w:eastAsia="Times New Roman"/>
                <w:color w:val="000000"/>
                <w:sz w:val="18"/>
                <w:szCs w:val="18"/>
              </w:rPr>
              <w:t>ESF (+YEI)</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10 802</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55,4</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67,8 %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24,3</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29,8 %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15,3</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18,8 %</w:t>
            </w:r>
          </w:p>
        </w:tc>
      </w:tr>
      <w:tr w:rsidR="004E3BB8" w:rsidRPr="002F4D2C" w:rsidTr="004E3BB8">
        <w:trPr>
          <w:cantSplit/>
          <w:trHeight w:val="414"/>
        </w:trPr>
        <w:tc>
          <w:tcPr>
            <w:tcW w:w="722" w:type="pct"/>
            <w:vMerge/>
            <w:tcBorders>
              <w:left w:val="single" w:sz="4" w:space="0" w:color="auto"/>
              <w:right w:val="single" w:sz="4" w:space="0" w:color="auto"/>
            </w:tcBorders>
            <w:shd w:val="clear" w:color="auto" w:fill="auto"/>
            <w:vAlign w:val="center"/>
          </w:tcPr>
          <w:p w:rsidR="0062238F" w:rsidRPr="002F4D2C" w:rsidRDefault="0062238F" w:rsidP="0062238F">
            <w:pPr>
              <w:keepNext/>
              <w:keepLines/>
              <w:spacing w:after="0" w:line="240" w:lineRule="auto"/>
              <w:jc w:val="left"/>
              <w:rPr>
                <w:rFonts w:eastAsia="Times New Roman"/>
                <w:color w:val="000000"/>
                <w:sz w:val="18"/>
                <w:szCs w:val="18"/>
              </w:rPr>
            </w:pP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sz w:val="18"/>
                <w:szCs w:val="18"/>
              </w:rPr>
              <w:t>EA</w:t>
            </w:r>
            <w:r>
              <w:rPr>
                <w:sz w:val="18"/>
                <w:szCs w:val="18"/>
              </w:rPr>
              <w:t>FRD</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133 318</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28,7</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51,8 %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22,6</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40,9 %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20,9</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37,8 %</w:t>
            </w:r>
          </w:p>
        </w:tc>
      </w:tr>
      <w:tr w:rsidR="004E3BB8" w:rsidRPr="002F4D2C" w:rsidTr="004E3BB8">
        <w:trPr>
          <w:cantSplit/>
          <w:trHeight w:val="414"/>
        </w:trPr>
        <w:tc>
          <w:tcPr>
            <w:tcW w:w="722" w:type="pct"/>
            <w:vMerge/>
            <w:tcBorders>
              <w:left w:val="single" w:sz="4" w:space="0" w:color="auto"/>
              <w:bottom w:val="single" w:sz="4" w:space="0" w:color="auto"/>
              <w:right w:val="single" w:sz="4" w:space="0" w:color="auto"/>
            </w:tcBorders>
            <w:shd w:val="clear" w:color="auto" w:fill="auto"/>
            <w:vAlign w:val="center"/>
          </w:tcPr>
          <w:p w:rsidR="0062238F" w:rsidRPr="002F4D2C" w:rsidRDefault="0062238F" w:rsidP="0062238F">
            <w:pPr>
              <w:keepNext/>
              <w:keepLines/>
              <w:spacing w:after="0" w:line="240" w:lineRule="auto"/>
              <w:jc w:val="left"/>
              <w:rPr>
                <w:rFonts w:eastAsia="Times New Roman"/>
                <w:color w:val="000000"/>
                <w:sz w:val="18"/>
                <w:szCs w:val="18"/>
              </w:rPr>
            </w:pPr>
          </w:p>
        </w:tc>
        <w:tc>
          <w:tcPr>
            <w:tcW w:w="561" w:type="pct"/>
            <w:tcBorders>
              <w:top w:val="nil"/>
              <w:left w:val="single" w:sz="4" w:space="0" w:color="auto"/>
              <w:bottom w:val="single" w:sz="4" w:space="0" w:color="auto"/>
              <w:right w:val="single" w:sz="4" w:space="0" w:color="auto"/>
            </w:tcBorders>
            <w:vAlign w:val="center"/>
          </w:tcPr>
          <w:p w:rsidR="0062238F" w:rsidRPr="002F4D2C" w:rsidRDefault="0062238F" w:rsidP="0062238F">
            <w:pPr>
              <w:keepNext/>
              <w:keepLines/>
              <w:spacing w:after="0" w:line="240" w:lineRule="auto"/>
              <w:jc w:val="left"/>
              <w:rPr>
                <w:color w:val="000000"/>
                <w:sz w:val="18"/>
                <w:szCs w:val="18"/>
              </w:rPr>
            </w:pPr>
            <w:r w:rsidRPr="002F4D2C">
              <w:rPr>
                <w:color w:val="000000"/>
                <w:sz w:val="18"/>
                <w:szCs w:val="18"/>
              </w:rPr>
              <w:t>ENRF</w:t>
            </w:r>
          </w:p>
        </w:tc>
        <w:tc>
          <w:tcPr>
            <w:tcW w:w="549"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318</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F05040" w:rsidRDefault="0062238F" w:rsidP="0062238F">
            <w:pPr>
              <w:keepNext/>
              <w:keepLines/>
              <w:spacing w:after="0" w:line="240" w:lineRule="auto"/>
              <w:jc w:val="right"/>
              <w:rPr>
                <w:color w:val="000000"/>
                <w:szCs w:val="20"/>
              </w:rPr>
            </w:pPr>
            <w:r w:rsidRPr="00DF2F85">
              <w:rPr>
                <w:color w:val="000000"/>
                <w:sz w:val="18"/>
                <w:szCs w:val="18"/>
              </w:rPr>
              <w:t>0,2</w:t>
            </w:r>
          </w:p>
        </w:tc>
        <w:tc>
          <w:tcPr>
            <w:tcW w:w="549" w:type="pct"/>
            <w:gridSpan w:val="2"/>
            <w:tcBorders>
              <w:top w:val="nil"/>
              <w:left w:val="nil"/>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33,2 %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0,1</w:t>
            </w:r>
          </w:p>
        </w:tc>
        <w:tc>
          <w:tcPr>
            <w:tcW w:w="518" w:type="pct"/>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10,8 %</w:t>
            </w:r>
          </w:p>
        </w:tc>
        <w:tc>
          <w:tcPr>
            <w:tcW w:w="517"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0,1</w:t>
            </w:r>
          </w:p>
        </w:tc>
        <w:tc>
          <w:tcPr>
            <w:tcW w:w="518" w:type="pct"/>
            <w:gridSpan w:val="2"/>
            <w:tcBorders>
              <w:top w:val="nil"/>
              <w:left w:val="single" w:sz="4" w:space="0" w:color="auto"/>
              <w:bottom w:val="single" w:sz="4" w:space="0" w:color="auto"/>
              <w:right w:val="single" w:sz="4" w:space="0" w:color="auto"/>
            </w:tcBorders>
            <w:shd w:val="clear" w:color="auto" w:fill="auto"/>
            <w:noWrap/>
            <w:vAlign w:val="center"/>
          </w:tcPr>
          <w:p w:rsidR="0062238F" w:rsidRPr="002F4D2C" w:rsidRDefault="0062238F" w:rsidP="0062238F">
            <w:pPr>
              <w:keepNext/>
              <w:keepLines/>
              <w:spacing w:after="0" w:line="240" w:lineRule="auto"/>
              <w:jc w:val="right"/>
              <w:rPr>
                <w:color w:val="000000"/>
                <w:sz w:val="18"/>
                <w:szCs w:val="18"/>
              </w:rPr>
            </w:pPr>
            <w:r w:rsidRPr="00DF2F85">
              <w:rPr>
                <w:color w:val="000000"/>
                <w:sz w:val="18"/>
                <w:szCs w:val="18"/>
              </w:rPr>
              <w:t>10,8 %</w:t>
            </w:r>
          </w:p>
        </w:tc>
      </w:tr>
      <w:tr w:rsidR="004E3BB8" w:rsidRPr="002F4D2C" w:rsidTr="004E3BB8">
        <w:trPr>
          <w:cantSplit/>
          <w:trHeight w:val="414"/>
        </w:trPr>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2238F" w:rsidRPr="002F4D2C" w:rsidRDefault="0062238F" w:rsidP="0062238F">
            <w:pPr>
              <w:keepNext/>
              <w:keepLines/>
              <w:spacing w:after="0" w:line="240" w:lineRule="auto"/>
              <w:jc w:val="left"/>
              <w:rPr>
                <w:rFonts w:eastAsia="Times New Roman"/>
                <w:b/>
                <w:color w:val="000000"/>
                <w:sz w:val="18"/>
                <w:szCs w:val="18"/>
              </w:rPr>
            </w:pPr>
            <w:r w:rsidRPr="002F4D2C">
              <w:rPr>
                <w:rFonts w:eastAsia="Times New Roman"/>
                <w:b/>
                <w:color w:val="000000"/>
                <w:sz w:val="18"/>
                <w:szCs w:val="18"/>
              </w:rPr>
              <w:t>Celkem</w:t>
            </w:r>
          </w:p>
        </w:tc>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38F" w:rsidRPr="002F4D2C" w:rsidRDefault="0062238F" w:rsidP="0062238F">
            <w:pPr>
              <w:keepNext/>
              <w:keepLines/>
              <w:spacing w:after="0" w:line="240" w:lineRule="auto"/>
              <w:jc w:val="right"/>
              <w:rPr>
                <w:b/>
                <w:color w:val="000000"/>
                <w:sz w:val="18"/>
                <w:szCs w:val="18"/>
              </w:rPr>
            </w:pP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824D2F" w:rsidRDefault="0062238F" w:rsidP="0062238F">
            <w:pPr>
              <w:keepNext/>
              <w:keepLines/>
              <w:spacing w:after="0" w:line="240" w:lineRule="auto"/>
              <w:jc w:val="right"/>
              <w:rPr>
                <w:rFonts w:eastAsia="Times New Roman"/>
                <w:b/>
                <w:sz w:val="18"/>
                <w:szCs w:val="18"/>
              </w:rPr>
            </w:pPr>
            <w:r w:rsidRPr="00DF2F85">
              <w:rPr>
                <w:b/>
                <w:color w:val="000000"/>
                <w:sz w:val="18"/>
                <w:szCs w:val="18"/>
              </w:rPr>
              <w:t>157 546</w:t>
            </w:r>
          </w:p>
        </w:tc>
        <w:tc>
          <w:tcPr>
            <w:tcW w:w="54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824D2F" w:rsidRDefault="0062238F" w:rsidP="0062238F">
            <w:pPr>
              <w:keepNext/>
              <w:keepLines/>
              <w:spacing w:after="0" w:line="240" w:lineRule="auto"/>
              <w:jc w:val="right"/>
              <w:rPr>
                <w:b/>
                <w:color w:val="000000"/>
                <w:sz w:val="18"/>
                <w:szCs w:val="18"/>
              </w:rPr>
            </w:pPr>
            <w:r w:rsidRPr="00DF2F85">
              <w:rPr>
                <w:b/>
                <w:color w:val="000000"/>
                <w:sz w:val="18"/>
                <w:szCs w:val="18"/>
              </w:rPr>
              <w:t>311,3</w:t>
            </w:r>
          </w:p>
        </w:tc>
        <w:tc>
          <w:tcPr>
            <w:tcW w:w="54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027141" w:rsidRDefault="0062238F" w:rsidP="0062238F">
            <w:pPr>
              <w:keepNext/>
              <w:keepLines/>
              <w:spacing w:after="0" w:line="240" w:lineRule="auto"/>
              <w:jc w:val="right"/>
              <w:rPr>
                <w:b/>
                <w:color w:val="000000"/>
                <w:sz w:val="18"/>
                <w:szCs w:val="18"/>
              </w:rPr>
            </w:pPr>
            <w:r w:rsidRPr="00DF2F85">
              <w:rPr>
                <w:b/>
                <w:color w:val="000000"/>
                <w:sz w:val="18"/>
                <w:szCs w:val="18"/>
              </w:rPr>
              <w:t>54,3 %</w:t>
            </w:r>
          </w:p>
        </w:tc>
        <w:tc>
          <w:tcPr>
            <w:tcW w:w="5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824D2F" w:rsidRDefault="0062238F" w:rsidP="0062238F">
            <w:pPr>
              <w:keepNext/>
              <w:keepLines/>
              <w:spacing w:after="0" w:line="240" w:lineRule="auto"/>
              <w:jc w:val="right"/>
              <w:rPr>
                <w:b/>
                <w:color w:val="000000"/>
                <w:sz w:val="18"/>
                <w:szCs w:val="18"/>
              </w:rPr>
            </w:pPr>
            <w:r w:rsidRPr="00DF2F85">
              <w:rPr>
                <w:b/>
                <w:color w:val="000000"/>
                <w:sz w:val="18"/>
                <w:szCs w:val="18"/>
              </w:rPr>
              <w:t>114,9</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027141" w:rsidRDefault="0062238F" w:rsidP="0062238F">
            <w:pPr>
              <w:keepNext/>
              <w:keepLines/>
              <w:spacing w:after="0" w:line="240" w:lineRule="auto"/>
              <w:jc w:val="right"/>
              <w:rPr>
                <w:b/>
                <w:color w:val="000000"/>
                <w:sz w:val="18"/>
                <w:szCs w:val="18"/>
              </w:rPr>
            </w:pPr>
            <w:r w:rsidRPr="00DF2F85">
              <w:rPr>
                <w:b/>
                <w:color w:val="000000"/>
                <w:sz w:val="18"/>
                <w:szCs w:val="18"/>
              </w:rPr>
              <w:t>20,1 %</w:t>
            </w:r>
          </w:p>
        </w:tc>
        <w:tc>
          <w:tcPr>
            <w:tcW w:w="5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824D2F" w:rsidRDefault="0062238F" w:rsidP="0062238F">
            <w:pPr>
              <w:keepNext/>
              <w:keepLines/>
              <w:spacing w:after="0" w:line="240" w:lineRule="auto"/>
              <w:jc w:val="right"/>
              <w:rPr>
                <w:b/>
                <w:color w:val="000000"/>
                <w:sz w:val="18"/>
                <w:szCs w:val="18"/>
              </w:rPr>
            </w:pPr>
            <w:r w:rsidRPr="00DF2F85">
              <w:rPr>
                <w:b/>
                <w:color w:val="000000"/>
                <w:sz w:val="18"/>
                <w:szCs w:val="18"/>
              </w:rPr>
              <w:t>87,3</w:t>
            </w:r>
          </w:p>
        </w:tc>
        <w:tc>
          <w:tcPr>
            <w:tcW w:w="51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2238F" w:rsidRPr="00027141" w:rsidRDefault="0062238F" w:rsidP="0062238F">
            <w:pPr>
              <w:keepNext/>
              <w:keepLines/>
              <w:spacing w:after="0" w:line="240" w:lineRule="auto"/>
              <w:jc w:val="right"/>
              <w:rPr>
                <w:b/>
                <w:color w:val="000000"/>
                <w:sz w:val="18"/>
                <w:szCs w:val="18"/>
              </w:rPr>
            </w:pPr>
            <w:r w:rsidRPr="00DF2F85">
              <w:rPr>
                <w:b/>
                <w:color w:val="000000"/>
                <w:sz w:val="18"/>
                <w:szCs w:val="18"/>
              </w:rPr>
              <w:t>15,2 %</w:t>
            </w:r>
          </w:p>
        </w:tc>
      </w:tr>
    </w:tbl>
    <w:p w:rsidR="00EC3F05" w:rsidRPr="00A24980" w:rsidRDefault="00EC3F05" w:rsidP="004E3BB8">
      <w:pPr>
        <w:pStyle w:val="TabulkaNOK-zdroj"/>
        <w:tabs>
          <w:tab w:val="left" w:pos="851"/>
        </w:tabs>
        <w:spacing w:before="0" w:after="0"/>
        <w:ind w:left="-142" w:firstLine="142"/>
        <w:rPr>
          <w:b/>
          <w:bCs/>
          <w:color w:val="FFFFFF"/>
        </w:rPr>
      </w:pPr>
      <w:r w:rsidRPr="009A4846">
        <w:rPr>
          <w:u w:color="000000"/>
          <w:bdr w:val="nil"/>
        </w:rPr>
        <w:t xml:space="preserve">Zdroj: MS2014+, </w:t>
      </w:r>
      <w:r w:rsidRPr="001521D0">
        <w:rPr>
          <w:u w:color="000000"/>
          <w:bdr w:val="nil"/>
        </w:rPr>
        <w:t xml:space="preserve">řídicí orgány, stav k </w:t>
      </w:r>
      <w:r w:rsidR="0095269D">
        <w:rPr>
          <w:u w:color="000000"/>
          <w:bdr w:val="nil"/>
        </w:rPr>
        <w:t>3</w:t>
      </w:r>
      <w:r w:rsidR="00DE21AB">
        <w:rPr>
          <w:u w:color="000000"/>
          <w:bdr w:val="nil"/>
        </w:rPr>
        <w:t>0</w:t>
      </w:r>
      <w:r w:rsidR="0095269D">
        <w:rPr>
          <w:u w:color="000000"/>
          <w:bdr w:val="nil"/>
        </w:rPr>
        <w:t xml:space="preserve">. </w:t>
      </w:r>
      <w:r w:rsidR="0062238F">
        <w:rPr>
          <w:u w:color="000000"/>
          <w:bdr w:val="nil"/>
        </w:rPr>
        <w:t>dubnu</w:t>
      </w:r>
      <w:r w:rsidRPr="009A4846">
        <w:rPr>
          <w:u w:color="000000"/>
          <w:bdr w:val="nil"/>
        </w:rPr>
        <w:t xml:space="preserve"> 2018</w:t>
      </w:r>
    </w:p>
    <w:p w:rsidR="00EC3F05" w:rsidRPr="009A4846" w:rsidRDefault="00EC3F05" w:rsidP="004E3BB8">
      <w:pPr>
        <w:pStyle w:val="TabulkaNOK-zdroj"/>
        <w:spacing w:before="0" w:after="0"/>
        <w:rPr>
          <w:bdr w:val="nil"/>
        </w:rPr>
      </w:pPr>
      <w:r w:rsidRPr="009A4846">
        <w:rPr>
          <w:u w:color="000000"/>
          <w:bdr w:val="nil"/>
        </w:rPr>
        <w:t>Pozn</w:t>
      </w:r>
      <w:r>
        <w:rPr>
          <w:u w:color="000000"/>
          <w:bdr w:val="nil"/>
        </w:rPr>
        <w:t>.:* V celkovém</w:t>
      </w:r>
      <w:r w:rsidRPr="001521D0">
        <w:rPr>
          <w:bdr w:val="nil"/>
        </w:rPr>
        <w:t xml:space="preserve"> počtu projektů s právním aktem o poskytnutí / převodu podpory jsou zahrnuta rovněž plošná opatření </w:t>
      </w:r>
      <w:r w:rsidR="00C3300D">
        <w:rPr>
          <w:bdr w:val="nil"/>
        </w:rPr>
        <w:br/>
      </w:r>
      <w:r w:rsidRPr="001521D0">
        <w:rPr>
          <w:bdr w:val="nil"/>
        </w:rPr>
        <w:t>(včetně závazků z minulých let) realizovaná</w:t>
      </w:r>
      <w:r w:rsidRPr="00A81CBC">
        <w:rPr>
          <w:bdr w:val="nil"/>
        </w:rPr>
        <w:t xml:space="preserve"> v rámci PRV.</w:t>
      </w:r>
    </w:p>
    <w:p w:rsidR="00EC3F05" w:rsidRDefault="00EC3F05" w:rsidP="004E3BB8">
      <w:pPr>
        <w:pStyle w:val="TabulkaNOK-zdroj"/>
        <w:spacing w:before="0" w:after="0"/>
      </w:pPr>
      <w:r>
        <w:t>Pozn. 1: Vyúčtované finanční prostředky mohou dosáhnout vyšší hodnoty než finanční prostředky proplacené v případě programů, u nichž se uplatňuje financování ex-post, neboť u tohoto typu financování jsou finanční prostředky propláceny až s určitým časovým posunem po jejich vyúčtování.</w:t>
      </w:r>
    </w:p>
    <w:p w:rsidR="00EC3F05" w:rsidRDefault="00EC3F05">
      <w:pPr>
        <w:pStyle w:val="TabulkaNOK-zdroj"/>
        <w:spacing w:before="0" w:after="0"/>
      </w:pPr>
      <w:r>
        <w:t xml:space="preserve">Pozn. 2: V případě finančních nástrojů vyúčtované finanční prostředky zahrnují prostředky poskytnuté konečným příjemcům </w:t>
      </w:r>
      <w:r w:rsidR="00C3300D">
        <w:br/>
      </w:r>
      <w:r>
        <w:t>(nikoli vklad do finančního nástroje).</w:t>
      </w:r>
    </w:p>
    <w:p w:rsidR="00EC3F05" w:rsidRDefault="00EC3F05" w:rsidP="00EC3F05">
      <w:pPr>
        <w:pStyle w:val="TabulkaNOK-zdroj"/>
        <w:spacing w:before="0" w:after="0"/>
      </w:pPr>
    </w:p>
    <w:p w:rsidR="00EC3F05" w:rsidRDefault="00EC3F05" w:rsidP="00FF7FE9">
      <w:pPr>
        <w:pStyle w:val="TabulkaNOK-zdroj"/>
        <w:ind w:left="993" w:hanging="993"/>
        <w:rPr>
          <w:u w:color="000000"/>
          <w:bdr w:val="nil"/>
        </w:rPr>
      </w:pPr>
    </w:p>
    <w:p w:rsidR="00EC3F05" w:rsidRDefault="00EC3F05">
      <w:pPr>
        <w:spacing w:after="200" w:line="276" w:lineRule="auto"/>
        <w:jc w:val="left"/>
        <w:rPr>
          <w:rFonts w:eastAsia="Times New Roman"/>
          <w:sz w:val="16"/>
          <w:szCs w:val="16"/>
          <w:u w:color="000000"/>
          <w:bdr w:val="nil"/>
        </w:rPr>
      </w:pPr>
      <w:r>
        <w:rPr>
          <w:u w:color="000000"/>
          <w:bdr w:val="nil"/>
        </w:rPr>
        <w:br w:type="page"/>
      </w:r>
    </w:p>
    <w:p w:rsidR="00EC3F05" w:rsidRPr="00EC3F05" w:rsidRDefault="00EC3F05" w:rsidP="00EC3F05">
      <w:pPr>
        <w:spacing w:after="0" w:line="240" w:lineRule="auto"/>
        <w:rPr>
          <w:rFonts w:eastAsia="Times New Roman"/>
          <w:sz w:val="16"/>
          <w:szCs w:val="16"/>
        </w:rPr>
      </w:pPr>
    </w:p>
    <w:p w:rsidR="00EC3F05" w:rsidRPr="00EC3F05" w:rsidRDefault="00EC3F05" w:rsidP="00F05040">
      <w:pPr>
        <w:spacing w:after="0" w:line="240" w:lineRule="auto"/>
        <w:rPr>
          <w:rFonts w:eastAsia="Times New Roman"/>
          <w:b/>
          <w:bCs/>
          <w:i/>
          <w:iCs/>
        </w:rPr>
      </w:pPr>
      <w:r w:rsidRPr="00EC3F05">
        <w:rPr>
          <w:rFonts w:eastAsia="Times New Roman"/>
          <w:b/>
          <w:bCs/>
          <w:i/>
          <w:iCs/>
        </w:rPr>
        <w:t>Tabulka č. 3 – Kumulativní čerpání programového období 2014</w:t>
      </w:r>
      <w:r w:rsidR="00E74A82">
        <w:rPr>
          <w:rFonts w:eastAsia="Times New Roman"/>
          <w:b/>
          <w:bCs/>
          <w:i/>
          <w:iCs/>
        </w:rPr>
        <w:t>–</w:t>
      </w:r>
      <w:r>
        <w:rPr>
          <w:rFonts w:eastAsia="Times New Roman"/>
          <w:b/>
          <w:bCs/>
          <w:i/>
          <w:iCs/>
        </w:rPr>
        <w:t xml:space="preserve">2020 od počátku období </w:t>
      </w:r>
      <w:r w:rsidR="00C3300D">
        <w:rPr>
          <w:rFonts w:eastAsia="Times New Roman"/>
          <w:b/>
          <w:bCs/>
          <w:i/>
          <w:iCs/>
        </w:rPr>
        <w:br/>
      </w:r>
      <w:r>
        <w:rPr>
          <w:rFonts w:eastAsia="Times New Roman"/>
          <w:b/>
          <w:bCs/>
          <w:i/>
          <w:iCs/>
        </w:rPr>
        <w:t xml:space="preserve">k </w:t>
      </w:r>
      <w:r w:rsidR="0095269D">
        <w:rPr>
          <w:rFonts w:eastAsia="Times New Roman"/>
          <w:b/>
          <w:bCs/>
          <w:i/>
          <w:iCs/>
        </w:rPr>
        <w:t>3</w:t>
      </w:r>
      <w:r w:rsidR="00DE21AB">
        <w:rPr>
          <w:rFonts w:eastAsia="Times New Roman"/>
          <w:b/>
          <w:bCs/>
          <w:i/>
          <w:iCs/>
        </w:rPr>
        <w:t>0</w:t>
      </w:r>
      <w:r w:rsidR="00CD46C1">
        <w:rPr>
          <w:rFonts w:eastAsia="Times New Roman"/>
          <w:b/>
          <w:bCs/>
          <w:i/>
          <w:iCs/>
        </w:rPr>
        <w:t>.</w:t>
      </w:r>
      <w:r w:rsidR="0095269D">
        <w:rPr>
          <w:rFonts w:eastAsia="Times New Roman"/>
          <w:b/>
          <w:bCs/>
          <w:i/>
          <w:iCs/>
        </w:rPr>
        <w:t xml:space="preserve"> </w:t>
      </w:r>
      <w:r w:rsidR="0023748F">
        <w:rPr>
          <w:rFonts w:eastAsia="Times New Roman"/>
          <w:b/>
          <w:bCs/>
          <w:i/>
          <w:iCs/>
        </w:rPr>
        <w:t>dubnu</w:t>
      </w:r>
      <w:r w:rsidRPr="00EC3F05">
        <w:rPr>
          <w:rFonts w:eastAsia="Times New Roman"/>
          <w:b/>
          <w:bCs/>
          <w:i/>
          <w:iCs/>
        </w:rPr>
        <w:t xml:space="preserve"> 2018</w:t>
      </w:r>
    </w:p>
    <w:tbl>
      <w:tblPr>
        <w:tblW w:w="494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4"/>
        <w:gridCol w:w="1206"/>
        <w:gridCol w:w="2127"/>
        <w:gridCol w:w="1699"/>
        <w:gridCol w:w="853"/>
        <w:gridCol w:w="1701"/>
        <w:gridCol w:w="847"/>
        <w:gridCol w:w="8"/>
      </w:tblGrid>
      <w:tr w:rsidR="00F903C5" w:rsidRPr="00EC3F05" w:rsidTr="004E3BB8">
        <w:trPr>
          <w:gridAfter w:val="1"/>
          <w:wAfter w:w="4" w:type="pct"/>
          <w:trHeight w:val="1125"/>
        </w:trPr>
        <w:tc>
          <w:tcPr>
            <w:tcW w:w="687" w:type="pct"/>
            <w:shd w:val="clear" w:color="auto" w:fill="000099"/>
            <w:vAlign w:val="center"/>
            <w:hideMark/>
          </w:tcPr>
          <w:p w:rsidR="00EC3F05" w:rsidRPr="00EC3F05" w:rsidRDefault="00EC3F05" w:rsidP="00EC3F05">
            <w:pPr>
              <w:spacing w:after="0" w:line="240" w:lineRule="auto"/>
              <w:jc w:val="center"/>
              <w:rPr>
                <w:rFonts w:eastAsia="Times New Roman"/>
                <w:b/>
                <w:bCs/>
                <w:color w:val="000000"/>
                <w:sz w:val="18"/>
                <w:szCs w:val="18"/>
              </w:rPr>
            </w:pPr>
            <w:r w:rsidRPr="00EC3F05">
              <w:rPr>
                <w:rFonts w:eastAsia="Times New Roman"/>
                <w:b/>
                <w:bCs/>
                <w:color w:val="000000"/>
                <w:sz w:val="18"/>
                <w:szCs w:val="18"/>
              </w:rPr>
              <w:br/>
            </w:r>
            <w:r w:rsidRPr="00EC3F05">
              <w:rPr>
                <w:rFonts w:eastAsia="Times New Roman"/>
                <w:b/>
                <w:bCs/>
                <w:color w:val="FFFFFF" w:themeColor="background1"/>
                <w:sz w:val="18"/>
                <w:szCs w:val="18"/>
              </w:rPr>
              <w:t>Program (ŘO)</w:t>
            </w:r>
          </w:p>
        </w:tc>
        <w:tc>
          <w:tcPr>
            <w:tcW w:w="616" w:type="pct"/>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br/>
              <w:t>Fond</w:t>
            </w:r>
          </w:p>
        </w:tc>
        <w:tc>
          <w:tcPr>
            <w:tcW w:w="1087" w:type="pct"/>
            <w:shd w:val="clear" w:color="auto" w:fill="000099"/>
            <w:vAlign w:val="center"/>
            <w:hideMark/>
          </w:tcPr>
          <w:p w:rsidR="00EC3F05" w:rsidRPr="00EC3F05" w:rsidRDefault="00EC3F05">
            <w:pPr>
              <w:spacing w:after="0" w:line="240" w:lineRule="auto"/>
              <w:jc w:val="center"/>
              <w:rPr>
                <w:rFonts w:eastAsia="Times New Roman"/>
                <w:b/>
                <w:bCs/>
                <w:sz w:val="18"/>
                <w:szCs w:val="18"/>
              </w:rPr>
            </w:pPr>
            <w:r w:rsidRPr="00EC3F05">
              <w:rPr>
                <w:rFonts w:eastAsia="Times New Roman"/>
                <w:b/>
                <w:bCs/>
                <w:sz w:val="18"/>
                <w:szCs w:val="18"/>
              </w:rPr>
              <w:br/>
              <w:t xml:space="preserve">Hlavní alokace </w:t>
            </w:r>
            <w:r w:rsidRPr="00EC3F05">
              <w:rPr>
                <w:rFonts w:eastAsia="Times New Roman"/>
                <w:b/>
                <w:bCs/>
                <w:sz w:val="18"/>
                <w:szCs w:val="18"/>
              </w:rPr>
              <w:br/>
            </w:r>
          </w:p>
        </w:tc>
        <w:tc>
          <w:tcPr>
            <w:tcW w:w="1303" w:type="pct"/>
            <w:gridSpan w:val="2"/>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Souhrnné žádosti od řídicích orgánů (schválené)</w:t>
            </w:r>
            <w:r w:rsidRPr="00EC3F05">
              <w:rPr>
                <w:rFonts w:eastAsia="Times New Roman"/>
                <w:b/>
                <w:bCs/>
                <w:sz w:val="18"/>
                <w:szCs w:val="18"/>
                <w:vertAlign w:val="superscript"/>
              </w:rPr>
              <w:t>1,2</w:t>
            </w:r>
          </w:p>
        </w:tc>
        <w:tc>
          <w:tcPr>
            <w:tcW w:w="1302" w:type="pct"/>
            <w:gridSpan w:val="2"/>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Žádosti o průběžnou platbu z EK</w:t>
            </w:r>
            <w:r w:rsidRPr="00EC3F05">
              <w:rPr>
                <w:rFonts w:eastAsia="Times New Roman"/>
                <w:b/>
                <w:bCs/>
                <w:sz w:val="18"/>
                <w:szCs w:val="18"/>
                <w:vertAlign w:val="superscript"/>
              </w:rPr>
              <w:t>2</w:t>
            </w:r>
          </w:p>
        </w:tc>
      </w:tr>
      <w:tr w:rsidR="00F903C5" w:rsidRPr="00EC3F05" w:rsidTr="004E3BB8">
        <w:trPr>
          <w:trHeight w:val="435"/>
        </w:trPr>
        <w:tc>
          <w:tcPr>
            <w:tcW w:w="687" w:type="pct"/>
            <w:shd w:val="clear" w:color="auto" w:fill="000099"/>
            <w:vAlign w:val="center"/>
            <w:hideMark/>
          </w:tcPr>
          <w:p w:rsidR="00EC3F05" w:rsidRPr="00EC3F05" w:rsidRDefault="00EC3F05" w:rsidP="00EC3F05">
            <w:pPr>
              <w:spacing w:after="0" w:line="240" w:lineRule="auto"/>
              <w:jc w:val="center"/>
              <w:rPr>
                <w:rFonts w:eastAsia="Times New Roman"/>
                <w:b/>
                <w:bCs/>
                <w:color w:val="000000"/>
                <w:sz w:val="18"/>
                <w:szCs w:val="18"/>
              </w:rPr>
            </w:pPr>
          </w:p>
        </w:tc>
        <w:tc>
          <w:tcPr>
            <w:tcW w:w="616" w:type="pct"/>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p>
        </w:tc>
        <w:tc>
          <w:tcPr>
            <w:tcW w:w="1087" w:type="pct"/>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CZK (podíl EU)</w:t>
            </w:r>
          </w:p>
        </w:tc>
        <w:tc>
          <w:tcPr>
            <w:tcW w:w="868" w:type="pct"/>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CZK (podíl EU)</w:t>
            </w:r>
          </w:p>
        </w:tc>
        <w:tc>
          <w:tcPr>
            <w:tcW w:w="436" w:type="pct"/>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w:t>
            </w:r>
          </w:p>
        </w:tc>
        <w:tc>
          <w:tcPr>
            <w:tcW w:w="869" w:type="pct"/>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CZK (podíl EU)</w:t>
            </w:r>
          </w:p>
        </w:tc>
        <w:tc>
          <w:tcPr>
            <w:tcW w:w="437" w:type="pct"/>
            <w:gridSpan w:val="2"/>
            <w:shd w:val="clear" w:color="auto" w:fill="000099"/>
            <w:vAlign w:val="center"/>
            <w:hideMark/>
          </w:tcPr>
          <w:p w:rsidR="00EC3F05" w:rsidRPr="00EC3F05" w:rsidRDefault="00EC3F05" w:rsidP="00EC3F05">
            <w:pPr>
              <w:spacing w:after="0" w:line="240" w:lineRule="auto"/>
              <w:jc w:val="center"/>
              <w:rPr>
                <w:rFonts w:eastAsia="Times New Roman"/>
                <w:b/>
                <w:bCs/>
                <w:sz w:val="18"/>
                <w:szCs w:val="18"/>
              </w:rPr>
            </w:pPr>
            <w:r w:rsidRPr="00EC3F05">
              <w:rPr>
                <w:rFonts w:eastAsia="Times New Roman"/>
                <w:b/>
                <w:bCs/>
                <w:sz w:val="18"/>
                <w:szCs w:val="18"/>
              </w:rPr>
              <w:t>%</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PIK (MPO)</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103 799 933 391,59</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9 321 782 474,09</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8,7 %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6 939 058 207,74</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6,6 %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VVV (MŠMT)</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EFRR+ESF</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66 341 029 779,22</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4 729 165 007,76</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7,0 %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3 825 138 848,36</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5,7 %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Z (MPSV)</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ESF (+YEI)</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51 731 789 751,49</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12 162 539 172,31</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22,9 %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11 220 204 214,99</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21,2 %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D (MD)</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EFRR+FS</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109 520 238 157,94</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23 172 137 928,76</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20,5 %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20 571 062 488,64</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18,3 %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ŽP (MŽP)</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EFRR+FS</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63 952 948 233,61</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7 600 098 593,55</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11,6 %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6 558 679 577,48</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10,1 %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IROP (MMR)</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111 126 142 862,45</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5 706 124 321,40</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5,1 %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3 780 638 070,90</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3,4 %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PPR (HMP)</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EFRR+ESF</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4 827 209 404,63</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162 833 028,03</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3,3 %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149 970 647,81</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3,1 %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OP TP (MMR)</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FS</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5 380 982 550,14</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1 315 917 228,40</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23,7 %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1 177 173 752,68</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21,2 %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PRV (MZe)</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EA</w:t>
            </w:r>
            <w:r>
              <w:rPr>
                <w:rFonts w:eastAsia="Times New Roman"/>
                <w:color w:val="000000"/>
                <w:sz w:val="18"/>
                <w:szCs w:val="18"/>
              </w:rPr>
              <w:t>FRD</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55 391 408 635,26</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20 917 004 137,20</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35,9 %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20 917 004 137,00</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35,9 %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Pr>
                <w:rFonts w:eastAsia="Times New Roman"/>
                <w:color w:val="000000"/>
                <w:sz w:val="18"/>
                <w:szCs w:val="18"/>
              </w:rPr>
              <w:t>OP R (Mze)</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Pr>
                <w:rFonts w:eastAsia="Times New Roman"/>
                <w:color w:val="000000"/>
                <w:sz w:val="18"/>
                <w:szCs w:val="18"/>
              </w:rPr>
              <w:t>ENRF</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744 578 521,13</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43 842 166,00</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5,9 %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43 830 291,06</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5,9 %</w:t>
            </w:r>
          </w:p>
        </w:tc>
      </w:tr>
      <w:tr w:rsidR="0023748F" w:rsidRPr="00EC3F05" w:rsidTr="0023748F">
        <w:trPr>
          <w:trHeight w:val="414"/>
        </w:trPr>
        <w:tc>
          <w:tcPr>
            <w:tcW w:w="687" w:type="pct"/>
            <w:shd w:val="clear" w:color="auto" w:fill="auto"/>
            <w:noWrap/>
            <w:vAlign w:val="center"/>
            <w:hideMark/>
          </w:tcPr>
          <w:p w:rsidR="00304F05" w:rsidRPr="00EC3F05" w:rsidRDefault="00304F05" w:rsidP="00304F05">
            <w:pPr>
              <w:spacing w:after="0" w:line="240" w:lineRule="auto"/>
              <w:jc w:val="left"/>
              <w:rPr>
                <w:rFonts w:eastAsia="Times New Roman"/>
                <w:b/>
                <w:bCs/>
                <w:color w:val="000000"/>
                <w:sz w:val="18"/>
                <w:szCs w:val="18"/>
              </w:rPr>
            </w:pPr>
            <w:r w:rsidRPr="00EC3F05">
              <w:rPr>
                <w:rFonts w:eastAsia="Times New Roman"/>
                <w:b/>
                <w:bCs/>
                <w:color w:val="000000"/>
                <w:sz w:val="18"/>
                <w:szCs w:val="18"/>
              </w:rPr>
              <w:t> </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b/>
                <w:bCs/>
                <w:color w:val="000000"/>
                <w:sz w:val="18"/>
                <w:szCs w:val="18"/>
              </w:rPr>
            </w:pPr>
            <w:r w:rsidRPr="00EC3F05">
              <w:rPr>
                <w:rFonts w:eastAsia="Times New Roman"/>
                <w:b/>
                <w:bCs/>
                <w:color w:val="000000"/>
                <w:sz w:val="18"/>
                <w:szCs w:val="18"/>
              </w:rPr>
              <w:t> </w:t>
            </w:r>
          </w:p>
        </w:tc>
        <w:tc>
          <w:tcPr>
            <w:tcW w:w="1087" w:type="pct"/>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r w:rsidRPr="00DF2F85">
              <w:rPr>
                <w:b/>
                <w:bCs/>
                <w:color w:val="000000"/>
                <w:sz w:val="18"/>
                <w:szCs w:val="18"/>
              </w:rPr>
              <w:t> </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 </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 xml:space="preserve">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 </w:t>
            </w:r>
          </w:p>
        </w:tc>
        <w:tc>
          <w:tcPr>
            <w:tcW w:w="437" w:type="pct"/>
            <w:gridSpan w:val="2"/>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r w:rsidRPr="00DF2F85">
              <w:rPr>
                <w:b/>
                <w:bCs/>
                <w:color w:val="000000"/>
                <w:sz w:val="18"/>
                <w:szCs w:val="18"/>
              </w:rPr>
              <w:t xml:space="preserve">  </w:t>
            </w:r>
          </w:p>
        </w:tc>
      </w:tr>
      <w:tr w:rsidR="0023748F" w:rsidRPr="00EC3F05" w:rsidTr="0023748F">
        <w:trPr>
          <w:trHeight w:val="414"/>
        </w:trPr>
        <w:tc>
          <w:tcPr>
            <w:tcW w:w="687" w:type="pct"/>
            <w:vMerge w:val="restar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Celkem</w:t>
            </w: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EFRR</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286 150 673 828,86</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22 084 210 280,41</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7,5 %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16 774 692 560,07</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5,7 %</w:t>
            </w:r>
          </w:p>
        </w:tc>
      </w:tr>
      <w:tr w:rsidR="0023748F" w:rsidRPr="00EC3F05" w:rsidTr="0023748F">
        <w:trPr>
          <w:trHeight w:val="414"/>
        </w:trPr>
        <w:tc>
          <w:tcPr>
            <w:tcW w:w="687" w:type="pct"/>
            <w:vMerge/>
            <w:vAlign w:val="center"/>
            <w:hideMark/>
          </w:tcPr>
          <w:p w:rsidR="00304F05" w:rsidRPr="00EC3F05" w:rsidRDefault="00304F05" w:rsidP="00304F05">
            <w:pPr>
              <w:spacing w:after="0" w:line="240" w:lineRule="auto"/>
              <w:jc w:val="left"/>
              <w:rPr>
                <w:rFonts w:eastAsia="Times New Roman"/>
                <w:color w:val="000000"/>
                <w:sz w:val="18"/>
                <w:szCs w:val="18"/>
              </w:rPr>
            </w:pP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FS</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147 709 037 689,72</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27 793 242 326,96</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18,3 %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24 586 506 002,28</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16,3 %</w:t>
            </w:r>
          </w:p>
        </w:tc>
      </w:tr>
      <w:tr w:rsidR="0023748F" w:rsidRPr="00EC3F05" w:rsidTr="0023748F">
        <w:trPr>
          <w:trHeight w:val="414"/>
        </w:trPr>
        <w:tc>
          <w:tcPr>
            <w:tcW w:w="687" w:type="pct"/>
            <w:vMerge/>
            <w:vAlign w:val="center"/>
            <w:hideMark/>
          </w:tcPr>
          <w:p w:rsidR="00304F05" w:rsidRPr="00EC3F05" w:rsidRDefault="00304F05" w:rsidP="00304F05">
            <w:pPr>
              <w:spacing w:after="0" w:line="240" w:lineRule="auto"/>
              <w:jc w:val="left"/>
              <w:rPr>
                <w:rFonts w:eastAsia="Times New Roman"/>
                <w:color w:val="000000"/>
                <w:sz w:val="18"/>
                <w:szCs w:val="18"/>
              </w:rPr>
            </w:pP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sidRPr="00EC3F05">
              <w:rPr>
                <w:rFonts w:eastAsia="Times New Roman"/>
                <w:color w:val="000000"/>
                <w:sz w:val="18"/>
                <w:szCs w:val="18"/>
              </w:rPr>
              <w:t>ESF (+YEI)</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81 716 508 353,69</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14 293 145 146,93</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16,8 %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12 860 727 246,25</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15,2 %</w:t>
            </w:r>
          </w:p>
        </w:tc>
      </w:tr>
      <w:tr w:rsidR="0023748F" w:rsidRPr="00EC3F05" w:rsidTr="0023748F">
        <w:trPr>
          <w:trHeight w:val="414"/>
        </w:trPr>
        <w:tc>
          <w:tcPr>
            <w:tcW w:w="687" w:type="pct"/>
            <w:vMerge/>
            <w:vAlign w:val="center"/>
            <w:hideMark/>
          </w:tcPr>
          <w:p w:rsidR="00304F05" w:rsidRPr="00EC3F05" w:rsidRDefault="00304F05" w:rsidP="00304F05">
            <w:pPr>
              <w:spacing w:after="0" w:line="240" w:lineRule="auto"/>
              <w:jc w:val="left"/>
              <w:rPr>
                <w:rFonts w:eastAsia="Times New Roman"/>
                <w:color w:val="000000"/>
                <w:sz w:val="18"/>
                <w:szCs w:val="18"/>
              </w:rPr>
            </w:pP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Pr>
                <w:rFonts w:eastAsia="Times New Roman"/>
                <w:color w:val="000000"/>
                <w:sz w:val="18"/>
                <w:szCs w:val="18"/>
              </w:rPr>
              <w:t>EAFRD</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55 391 408 635,26</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20 917 004 137,20</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35,9 %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20 917 004 137,00</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35,9 %</w:t>
            </w:r>
          </w:p>
        </w:tc>
      </w:tr>
      <w:tr w:rsidR="0023748F" w:rsidRPr="00EC3F05" w:rsidTr="0023748F">
        <w:trPr>
          <w:trHeight w:val="414"/>
        </w:trPr>
        <w:tc>
          <w:tcPr>
            <w:tcW w:w="687" w:type="pct"/>
            <w:vMerge/>
            <w:vAlign w:val="center"/>
            <w:hideMark/>
          </w:tcPr>
          <w:p w:rsidR="00304F05" w:rsidRPr="00EC3F05" w:rsidRDefault="00304F05" w:rsidP="00304F05">
            <w:pPr>
              <w:spacing w:after="0" w:line="240" w:lineRule="auto"/>
              <w:jc w:val="left"/>
              <w:rPr>
                <w:rFonts w:eastAsia="Times New Roman"/>
                <w:color w:val="000000"/>
                <w:sz w:val="18"/>
                <w:szCs w:val="18"/>
              </w:rPr>
            </w:pPr>
          </w:p>
        </w:tc>
        <w:tc>
          <w:tcPr>
            <w:tcW w:w="616" w:type="pct"/>
            <w:shd w:val="clear" w:color="auto" w:fill="auto"/>
            <w:noWrap/>
            <w:vAlign w:val="center"/>
            <w:hideMark/>
          </w:tcPr>
          <w:p w:rsidR="00304F05" w:rsidRPr="00EC3F05" w:rsidRDefault="00304F05" w:rsidP="00304F05">
            <w:pPr>
              <w:spacing w:after="0" w:line="240" w:lineRule="auto"/>
              <w:jc w:val="left"/>
              <w:rPr>
                <w:rFonts w:eastAsia="Times New Roman"/>
                <w:color w:val="000000"/>
                <w:sz w:val="18"/>
                <w:szCs w:val="18"/>
              </w:rPr>
            </w:pPr>
            <w:r>
              <w:rPr>
                <w:rFonts w:eastAsia="Times New Roman"/>
                <w:color w:val="000000"/>
                <w:sz w:val="18"/>
                <w:szCs w:val="18"/>
              </w:rPr>
              <w:t>ENRF</w:t>
            </w:r>
          </w:p>
        </w:tc>
        <w:tc>
          <w:tcPr>
            <w:tcW w:w="1087"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744 578 521,13</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43 842 166,00</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5,9 %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43 830 291,06</w:t>
            </w:r>
          </w:p>
        </w:tc>
        <w:tc>
          <w:tcPr>
            <w:tcW w:w="437" w:type="pct"/>
            <w:gridSpan w:val="2"/>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5,9 %</w:t>
            </w:r>
          </w:p>
        </w:tc>
      </w:tr>
      <w:tr w:rsidR="0023748F" w:rsidRPr="00EC3F05" w:rsidTr="0023748F">
        <w:trPr>
          <w:trHeight w:val="414"/>
        </w:trPr>
        <w:tc>
          <w:tcPr>
            <w:tcW w:w="687" w:type="pct"/>
            <w:shd w:val="clear" w:color="auto" w:fill="auto"/>
            <w:noWrap/>
            <w:vAlign w:val="bottom"/>
            <w:hideMark/>
          </w:tcPr>
          <w:p w:rsidR="00304F05" w:rsidRPr="00EC3F05" w:rsidRDefault="00304F05" w:rsidP="00304F05">
            <w:pPr>
              <w:spacing w:after="0" w:line="240" w:lineRule="auto"/>
              <w:jc w:val="left"/>
              <w:rPr>
                <w:rFonts w:eastAsia="Times New Roman"/>
                <w:b/>
                <w:bCs/>
                <w:color w:val="000000"/>
                <w:sz w:val="18"/>
                <w:szCs w:val="18"/>
              </w:rPr>
            </w:pPr>
            <w:r w:rsidRPr="00EC3F05">
              <w:rPr>
                <w:rFonts w:eastAsia="Times New Roman"/>
                <w:b/>
                <w:bCs/>
                <w:color w:val="000000"/>
                <w:sz w:val="18"/>
                <w:szCs w:val="18"/>
              </w:rPr>
              <w:t> </w:t>
            </w:r>
          </w:p>
        </w:tc>
        <w:tc>
          <w:tcPr>
            <w:tcW w:w="616" w:type="pct"/>
            <w:shd w:val="clear" w:color="auto" w:fill="auto"/>
            <w:noWrap/>
            <w:vAlign w:val="bottom"/>
            <w:hideMark/>
          </w:tcPr>
          <w:p w:rsidR="00304F05" w:rsidRPr="00EC3F05" w:rsidRDefault="00304F05" w:rsidP="00304F05">
            <w:pPr>
              <w:spacing w:after="0" w:line="240" w:lineRule="auto"/>
              <w:jc w:val="left"/>
              <w:rPr>
                <w:rFonts w:eastAsia="Times New Roman"/>
                <w:b/>
                <w:bCs/>
                <w:color w:val="000000"/>
                <w:sz w:val="18"/>
                <w:szCs w:val="18"/>
              </w:rPr>
            </w:pPr>
            <w:r w:rsidRPr="00EC3F05">
              <w:rPr>
                <w:rFonts w:eastAsia="Times New Roman"/>
                <w:b/>
                <w:bCs/>
                <w:color w:val="000000"/>
                <w:sz w:val="18"/>
                <w:szCs w:val="18"/>
              </w:rPr>
              <w:t> </w:t>
            </w:r>
          </w:p>
        </w:tc>
        <w:tc>
          <w:tcPr>
            <w:tcW w:w="1087" w:type="pct"/>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r w:rsidRPr="00DF2F85">
              <w:rPr>
                <w:b/>
                <w:bCs/>
                <w:color w:val="000000"/>
                <w:sz w:val="18"/>
                <w:szCs w:val="18"/>
              </w:rPr>
              <w:t> </w:t>
            </w:r>
          </w:p>
        </w:tc>
        <w:tc>
          <w:tcPr>
            <w:tcW w:w="868"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 </w:t>
            </w:r>
          </w:p>
        </w:tc>
        <w:tc>
          <w:tcPr>
            <w:tcW w:w="436"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 </w:t>
            </w:r>
          </w:p>
        </w:tc>
        <w:tc>
          <w:tcPr>
            <w:tcW w:w="869" w:type="pct"/>
            <w:shd w:val="clear" w:color="auto" w:fill="auto"/>
            <w:noWrap/>
            <w:vAlign w:val="center"/>
          </w:tcPr>
          <w:p w:rsidR="00304F05" w:rsidRPr="00EC3F05" w:rsidRDefault="00304F05" w:rsidP="00304F05">
            <w:pPr>
              <w:spacing w:after="0" w:line="240" w:lineRule="auto"/>
              <w:jc w:val="right"/>
              <w:rPr>
                <w:rFonts w:eastAsia="Times New Roman"/>
                <w:color w:val="000000"/>
                <w:sz w:val="18"/>
                <w:szCs w:val="18"/>
              </w:rPr>
            </w:pPr>
            <w:r w:rsidRPr="00DF2F85">
              <w:rPr>
                <w:color w:val="000000"/>
                <w:sz w:val="18"/>
                <w:szCs w:val="18"/>
              </w:rPr>
              <w:t> </w:t>
            </w:r>
          </w:p>
        </w:tc>
        <w:tc>
          <w:tcPr>
            <w:tcW w:w="437" w:type="pct"/>
            <w:gridSpan w:val="2"/>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r w:rsidRPr="00DF2F85">
              <w:rPr>
                <w:b/>
                <w:bCs/>
                <w:color w:val="000000"/>
                <w:sz w:val="18"/>
                <w:szCs w:val="18"/>
              </w:rPr>
              <w:t> </w:t>
            </w:r>
          </w:p>
        </w:tc>
      </w:tr>
      <w:tr w:rsidR="00C36606" w:rsidRPr="00EC3F05" w:rsidTr="004E3BB8">
        <w:trPr>
          <w:trHeight w:val="414"/>
        </w:trPr>
        <w:tc>
          <w:tcPr>
            <w:tcW w:w="687" w:type="pct"/>
            <w:shd w:val="clear" w:color="auto" w:fill="F2F2F2" w:themeFill="background1" w:themeFillShade="F2"/>
            <w:noWrap/>
            <w:vAlign w:val="center"/>
            <w:hideMark/>
          </w:tcPr>
          <w:p w:rsidR="00304F05" w:rsidRPr="00EC3F05" w:rsidRDefault="00304F05" w:rsidP="00304F05">
            <w:pPr>
              <w:spacing w:after="0" w:line="240" w:lineRule="auto"/>
              <w:jc w:val="left"/>
              <w:rPr>
                <w:rFonts w:eastAsia="Times New Roman"/>
                <w:b/>
                <w:bCs/>
                <w:color w:val="000000"/>
                <w:sz w:val="18"/>
                <w:szCs w:val="18"/>
              </w:rPr>
            </w:pPr>
            <w:r w:rsidRPr="00EC3F05">
              <w:rPr>
                <w:rFonts w:eastAsia="Times New Roman"/>
                <w:b/>
                <w:bCs/>
                <w:color w:val="000000"/>
                <w:sz w:val="18"/>
                <w:szCs w:val="18"/>
              </w:rPr>
              <w:t>Celkem</w:t>
            </w:r>
          </w:p>
        </w:tc>
        <w:tc>
          <w:tcPr>
            <w:tcW w:w="616" w:type="pct"/>
            <w:shd w:val="clear" w:color="auto" w:fill="F2F2F2" w:themeFill="background1" w:themeFillShade="F2"/>
            <w:noWrap/>
            <w:vAlign w:val="bottom"/>
            <w:hideMark/>
          </w:tcPr>
          <w:p w:rsidR="00304F05" w:rsidRPr="00EC3F05" w:rsidRDefault="00304F05" w:rsidP="00304F05">
            <w:pPr>
              <w:spacing w:after="0" w:line="240" w:lineRule="auto"/>
              <w:jc w:val="left"/>
              <w:rPr>
                <w:rFonts w:eastAsia="Times New Roman"/>
                <w:b/>
                <w:bCs/>
                <w:color w:val="000000"/>
                <w:sz w:val="18"/>
                <w:szCs w:val="18"/>
              </w:rPr>
            </w:pPr>
            <w:r w:rsidRPr="00EC3F05">
              <w:rPr>
                <w:rFonts w:eastAsia="Times New Roman"/>
                <w:b/>
                <w:bCs/>
                <w:color w:val="000000"/>
                <w:sz w:val="18"/>
                <w:szCs w:val="18"/>
              </w:rPr>
              <w:t> </w:t>
            </w:r>
          </w:p>
        </w:tc>
        <w:tc>
          <w:tcPr>
            <w:tcW w:w="1087" w:type="pct"/>
            <w:shd w:val="clear" w:color="auto" w:fill="F2F2F2" w:themeFill="background1" w:themeFillShade="F2"/>
            <w:noWrap/>
            <w:vAlign w:val="center"/>
          </w:tcPr>
          <w:p w:rsidR="00304F05" w:rsidRPr="008D6DB3" w:rsidRDefault="00304F05" w:rsidP="00304F05">
            <w:pPr>
              <w:spacing w:after="0" w:line="240" w:lineRule="auto"/>
              <w:jc w:val="right"/>
              <w:rPr>
                <w:rFonts w:eastAsia="Times New Roman"/>
                <w:b/>
                <w:color w:val="000000"/>
                <w:sz w:val="18"/>
                <w:szCs w:val="18"/>
              </w:rPr>
            </w:pPr>
            <w:r w:rsidRPr="00DF2F85">
              <w:rPr>
                <w:b/>
                <w:bCs/>
                <w:color w:val="000000"/>
                <w:sz w:val="18"/>
                <w:szCs w:val="18"/>
              </w:rPr>
              <w:t>572 816 261 287,45</w:t>
            </w:r>
          </w:p>
        </w:tc>
        <w:tc>
          <w:tcPr>
            <w:tcW w:w="868" w:type="pct"/>
            <w:shd w:val="clear" w:color="auto" w:fill="F2F2F2" w:themeFill="background1" w:themeFillShade="F2"/>
            <w:noWrap/>
            <w:vAlign w:val="center"/>
          </w:tcPr>
          <w:p w:rsidR="00304F05" w:rsidRPr="008D6DB3" w:rsidRDefault="00304F05" w:rsidP="00304F05">
            <w:pPr>
              <w:spacing w:after="0" w:line="240" w:lineRule="auto"/>
              <w:jc w:val="right"/>
              <w:rPr>
                <w:rFonts w:eastAsia="Times New Roman"/>
                <w:b/>
                <w:color w:val="000000"/>
                <w:sz w:val="18"/>
                <w:szCs w:val="18"/>
              </w:rPr>
            </w:pPr>
            <w:r w:rsidRPr="00DF2F85">
              <w:rPr>
                <w:b/>
                <w:bCs/>
                <w:color w:val="000000"/>
                <w:sz w:val="18"/>
                <w:szCs w:val="18"/>
              </w:rPr>
              <w:t>85 131 444 057,50</w:t>
            </w:r>
          </w:p>
        </w:tc>
        <w:tc>
          <w:tcPr>
            <w:tcW w:w="436" w:type="pct"/>
            <w:shd w:val="clear" w:color="auto" w:fill="F2F2F2" w:themeFill="background1" w:themeFillShade="F2"/>
            <w:noWrap/>
            <w:vAlign w:val="center"/>
          </w:tcPr>
          <w:p w:rsidR="00304F05" w:rsidRPr="008D6DB3" w:rsidRDefault="00304F05" w:rsidP="00304F05">
            <w:pPr>
              <w:spacing w:after="0" w:line="240" w:lineRule="auto"/>
              <w:jc w:val="right"/>
              <w:rPr>
                <w:rFonts w:eastAsia="Times New Roman"/>
                <w:b/>
                <w:color w:val="000000"/>
                <w:sz w:val="18"/>
                <w:szCs w:val="18"/>
              </w:rPr>
            </w:pPr>
            <w:r w:rsidRPr="00DF2F85">
              <w:rPr>
                <w:b/>
                <w:bCs/>
                <w:color w:val="000000"/>
                <w:sz w:val="18"/>
                <w:szCs w:val="18"/>
              </w:rPr>
              <w:t>14,4 %</w:t>
            </w:r>
          </w:p>
        </w:tc>
        <w:tc>
          <w:tcPr>
            <w:tcW w:w="869" w:type="pct"/>
            <w:shd w:val="clear" w:color="auto" w:fill="F2F2F2" w:themeFill="background1" w:themeFillShade="F2"/>
            <w:noWrap/>
            <w:vAlign w:val="center"/>
          </w:tcPr>
          <w:p w:rsidR="00304F05" w:rsidRPr="008D6DB3" w:rsidRDefault="00304F05" w:rsidP="00304F05">
            <w:pPr>
              <w:spacing w:after="0" w:line="240" w:lineRule="auto"/>
              <w:jc w:val="right"/>
              <w:rPr>
                <w:rFonts w:eastAsia="Times New Roman"/>
                <w:b/>
                <w:color w:val="000000"/>
                <w:sz w:val="18"/>
                <w:szCs w:val="18"/>
              </w:rPr>
            </w:pPr>
            <w:r w:rsidRPr="00DF2F85">
              <w:rPr>
                <w:b/>
                <w:bCs/>
                <w:color w:val="000000"/>
                <w:sz w:val="18"/>
                <w:szCs w:val="18"/>
              </w:rPr>
              <w:t>75 182 760 236,66</w:t>
            </w:r>
          </w:p>
        </w:tc>
        <w:tc>
          <w:tcPr>
            <w:tcW w:w="437" w:type="pct"/>
            <w:gridSpan w:val="2"/>
            <w:shd w:val="clear" w:color="auto" w:fill="F2F2F2" w:themeFill="background1" w:themeFillShade="F2"/>
            <w:noWrap/>
            <w:vAlign w:val="center"/>
          </w:tcPr>
          <w:p w:rsidR="00304F05" w:rsidRPr="008D6DB3" w:rsidRDefault="00304F05" w:rsidP="00304F05">
            <w:pPr>
              <w:spacing w:after="0" w:line="240" w:lineRule="auto"/>
              <w:jc w:val="right"/>
              <w:rPr>
                <w:rFonts w:eastAsia="Times New Roman"/>
                <w:b/>
                <w:color w:val="000000"/>
                <w:sz w:val="18"/>
                <w:szCs w:val="18"/>
              </w:rPr>
            </w:pPr>
            <w:r w:rsidRPr="00DF2F85">
              <w:rPr>
                <w:b/>
                <w:bCs/>
                <w:color w:val="000000"/>
                <w:sz w:val="18"/>
                <w:szCs w:val="18"/>
              </w:rPr>
              <w:t>12,7 %</w:t>
            </w:r>
          </w:p>
        </w:tc>
      </w:tr>
    </w:tbl>
    <w:p w:rsidR="00EC3F05" w:rsidRPr="00F05040" w:rsidRDefault="00EC3F05" w:rsidP="004E3BB8">
      <w:pPr>
        <w:pStyle w:val="TabulkaNOK-zdroj"/>
        <w:spacing w:before="0" w:after="0"/>
      </w:pPr>
      <w:r w:rsidRPr="00F05040">
        <w:t>Zdroj: MF-PCO, řídicí orgán PRV, stav ke dni </w:t>
      </w:r>
      <w:r w:rsidR="0095269D" w:rsidRPr="00F05040">
        <w:t>3</w:t>
      </w:r>
      <w:r w:rsidR="00DE21AB">
        <w:t>0</w:t>
      </w:r>
      <w:r w:rsidRPr="00F05040">
        <w:t xml:space="preserve">. </w:t>
      </w:r>
      <w:r w:rsidR="00DE21AB">
        <w:t>dubna</w:t>
      </w:r>
      <w:r w:rsidR="0095269D" w:rsidRPr="00F05040">
        <w:t xml:space="preserve"> </w:t>
      </w:r>
      <w:r w:rsidRPr="00F05040">
        <w:t>2018</w:t>
      </w:r>
    </w:p>
    <w:p w:rsidR="00EC3F05" w:rsidRPr="00F05040" w:rsidRDefault="00EC3F05" w:rsidP="004E3BB8">
      <w:pPr>
        <w:pStyle w:val="TabulkaNOK-zdroj"/>
        <w:spacing w:before="0" w:after="0"/>
      </w:pPr>
      <w:r w:rsidRPr="00F05040">
        <w:t>Pozn. 1: V případě PRV se jedná o stav finančních prostředků vyúčtovaných v žádostech o platbu.</w:t>
      </w:r>
    </w:p>
    <w:p w:rsidR="008A12AD" w:rsidRDefault="00EC3F05" w:rsidP="004E3BB8">
      <w:pPr>
        <w:pStyle w:val="TabulkaNOK-zdroj"/>
        <w:spacing w:before="0" w:after="0"/>
        <w:rPr>
          <w:u w:color="000000"/>
          <w:bdr w:val="nil"/>
        </w:rPr>
      </w:pPr>
      <w:r w:rsidRPr="00F05040">
        <w:t>Pozn. 2: Procentuální vyjádření vychází z hodnot v EUR, které zůstávají neměnné v závislosti na kurzu a tedy mají vyšší vypovídající hodnotu.</w:t>
      </w:r>
    </w:p>
    <w:p w:rsidR="00C5028D" w:rsidRPr="00F05040" w:rsidRDefault="00C5028D" w:rsidP="00F05040">
      <w:pPr>
        <w:rPr>
          <w:color w:val="000000" w:themeColor="text1"/>
          <w:szCs w:val="20"/>
          <w:bdr w:val="none" w:sz="0" w:space="0" w:color="auto" w:frame="1"/>
        </w:rPr>
      </w:pPr>
    </w:p>
    <w:p w:rsidR="008A12AD" w:rsidRDefault="008A12AD">
      <w:pPr>
        <w:spacing w:after="200" w:line="276" w:lineRule="auto"/>
        <w:jc w:val="left"/>
        <w:rPr>
          <w:rFonts w:eastAsia="Times New Roman"/>
          <w:sz w:val="16"/>
          <w:szCs w:val="16"/>
          <w:u w:color="000000"/>
          <w:bdr w:val="nil"/>
        </w:rPr>
      </w:pPr>
      <w:r>
        <w:rPr>
          <w:u w:color="000000"/>
          <w:bdr w:val="nil"/>
        </w:rPr>
        <w:br w:type="page"/>
      </w:r>
    </w:p>
    <w:p w:rsidR="008A12AD" w:rsidRPr="002F4D2C" w:rsidRDefault="008A12AD" w:rsidP="0095269D">
      <w:pPr>
        <w:pStyle w:val="TabulkaNOK-zdroj"/>
        <w:spacing w:before="120"/>
        <w:rPr>
          <w:b/>
          <w:sz w:val="20"/>
          <w:szCs w:val="20"/>
          <w:u w:val="single"/>
        </w:rPr>
      </w:pPr>
      <w:r w:rsidRPr="002F4D2C">
        <w:rPr>
          <w:b/>
          <w:sz w:val="20"/>
          <w:szCs w:val="20"/>
          <w:u w:val="single"/>
        </w:rPr>
        <w:lastRenderedPageBreak/>
        <w:t>Plnění pravidla n+3</w:t>
      </w:r>
    </w:p>
    <w:p w:rsidR="00B05846" w:rsidRPr="00F05040" w:rsidRDefault="008A12AD" w:rsidP="00F05040">
      <w:pPr>
        <w:spacing w:before="60"/>
        <w:rPr>
          <w:color w:val="000000" w:themeColor="text1"/>
          <w:szCs w:val="20"/>
          <w:bdr w:val="none" w:sz="0" w:space="0" w:color="auto" w:frame="1"/>
        </w:rPr>
      </w:pPr>
      <w:r w:rsidRPr="00F05040">
        <w:t>Tabulka č. 4 uvádí stav plnění pravidla n+3, resp. naplňování limitu čerpání pro rok 2018 pro jednotlivé programy k </w:t>
      </w:r>
      <w:r w:rsidR="0095269D" w:rsidRPr="00F05040">
        <w:t>3</w:t>
      </w:r>
      <w:r w:rsidR="00DE21AB">
        <w:t>0</w:t>
      </w:r>
      <w:r w:rsidRPr="00F05040">
        <w:t xml:space="preserve">. </w:t>
      </w:r>
      <w:r w:rsidR="00DE21AB">
        <w:t>dubn</w:t>
      </w:r>
      <w:r w:rsidR="000E4DF2">
        <w:t>u</w:t>
      </w:r>
      <w:r w:rsidR="0095269D" w:rsidRPr="00F05040">
        <w:t xml:space="preserve"> </w:t>
      </w:r>
      <w:r w:rsidRPr="00F05040">
        <w:t>2018</w:t>
      </w:r>
      <w:r w:rsidRPr="00F05040">
        <w:rPr>
          <w:color w:val="000000" w:themeColor="text1"/>
          <w:szCs w:val="20"/>
          <w:bdr w:val="none" w:sz="0" w:space="0" w:color="auto" w:frame="1"/>
        </w:rPr>
        <w:t xml:space="preserve">. </w:t>
      </w:r>
      <w:r w:rsidRPr="00F05040">
        <w:rPr>
          <w:b/>
          <w:color w:val="000000" w:themeColor="text1"/>
          <w:szCs w:val="20"/>
          <w:bdr w:val="none" w:sz="0" w:space="0" w:color="auto" w:frame="1"/>
        </w:rPr>
        <w:t>Limit čerpání pro rok 2018 k uvedenému datu splnil již Program rozvoje venkova, OP Zaměstnanost, OP Technická pomoc a OP Doprava.</w:t>
      </w:r>
      <w:r w:rsidR="0081725E" w:rsidRPr="00F05040">
        <w:rPr>
          <w:b/>
          <w:color w:val="000000" w:themeColor="text1"/>
          <w:szCs w:val="20"/>
          <w:bdr w:val="none" w:sz="0" w:space="0" w:color="auto" w:frame="1"/>
        </w:rPr>
        <w:t xml:space="preserve"> Ke splnění limitu čerpání 2018 se postupně blíží i OP Životní prostředí. Naopak nejmenší procentuální podíl plnění limitu čerpání 2018 k uvedenému datu vykazuje OP Praha – pól růstu ČR, Integrovaný regionální OP a OP Rybářství.</w:t>
      </w:r>
      <w:r w:rsidR="0081725E" w:rsidRPr="00F05040">
        <w:rPr>
          <w:color w:val="000000" w:themeColor="text1"/>
          <w:szCs w:val="20"/>
          <w:bdr w:val="none" w:sz="0" w:space="0" w:color="auto" w:frame="1"/>
        </w:rPr>
        <w:t xml:space="preserve"> </w:t>
      </w:r>
    </w:p>
    <w:p w:rsidR="008A12AD" w:rsidRPr="00137BEF" w:rsidRDefault="008A12AD" w:rsidP="00F05040">
      <w:pPr>
        <w:pStyle w:val="Titulektabulky"/>
        <w:spacing w:after="0"/>
      </w:pPr>
      <w:r>
        <w:t xml:space="preserve">Tabulka č. 4 </w:t>
      </w:r>
      <w:r w:rsidRPr="00137BEF">
        <w:t xml:space="preserve">– </w:t>
      </w:r>
      <w:r>
        <w:t>Plnění pravidla n+3 pro rok 2018</w:t>
      </w:r>
      <w:r w:rsidRPr="00137BEF">
        <w:t xml:space="preserve"> ke dni </w:t>
      </w:r>
      <w:r w:rsidR="0095269D">
        <w:t>3</w:t>
      </w:r>
      <w:r w:rsidR="00DE21AB">
        <w:t>0</w:t>
      </w:r>
      <w:r>
        <w:t xml:space="preserve">. </w:t>
      </w:r>
      <w:r w:rsidR="00DE21AB">
        <w:t>dubna</w:t>
      </w:r>
      <w:r>
        <w:t xml:space="preserve"> 2018 (v EUR)</w:t>
      </w:r>
    </w:p>
    <w:tbl>
      <w:tblPr>
        <w:tblW w:w="4943" w:type="pct"/>
        <w:tblInd w:w="70" w:type="dxa"/>
        <w:tblLayout w:type="fixed"/>
        <w:tblCellMar>
          <w:left w:w="70" w:type="dxa"/>
          <w:right w:w="70" w:type="dxa"/>
        </w:tblCellMar>
        <w:tblLook w:val="04A0"/>
      </w:tblPr>
      <w:tblGrid>
        <w:gridCol w:w="2268"/>
        <w:gridCol w:w="1744"/>
        <w:gridCol w:w="1745"/>
        <w:gridCol w:w="1745"/>
        <w:gridCol w:w="935"/>
        <w:gridCol w:w="1342"/>
      </w:tblGrid>
      <w:tr w:rsidR="0023748F" w:rsidRPr="00145A66" w:rsidTr="00FD15E3">
        <w:trPr>
          <w:trHeight w:val="711"/>
        </w:trPr>
        <w:tc>
          <w:tcPr>
            <w:tcW w:w="1160" w:type="pct"/>
            <w:vMerge w:val="restart"/>
            <w:tcBorders>
              <w:top w:val="single" w:sz="4" w:space="0" w:color="auto"/>
              <w:left w:val="single" w:sz="4" w:space="0" w:color="auto"/>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Program (ŘO)</w:t>
            </w:r>
          </w:p>
        </w:tc>
        <w:tc>
          <w:tcPr>
            <w:tcW w:w="892" w:type="pct"/>
            <w:tcBorders>
              <w:top w:val="single" w:sz="4" w:space="0" w:color="auto"/>
              <w:left w:val="nil"/>
              <w:bottom w:val="single" w:sz="4" w:space="0" w:color="auto"/>
              <w:right w:val="nil"/>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Alokace roku 2015</w:t>
            </w:r>
            <w:r w:rsidRPr="000633D9">
              <w:rPr>
                <w:rFonts w:eastAsia="Times New Roman"/>
                <w:b/>
                <w:bCs/>
                <w:color w:val="FFFFFF" w:themeColor="background1"/>
                <w:sz w:val="18"/>
                <w:szCs w:val="18"/>
              </w:rPr>
              <w:br/>
              <w:t>(Pravidlo N+3)</w:t>
            </w:r>
          </w:p>
        </w:tc>
        <w:tc>
          <w:tcPr>
            <w:tcW w:w="891" w:type="pct"/>
            <w:tcBorders>
              <w:top w:val="single" w:sz="4" w:space="0" w:color="auto"/>
              <w:left w:val="single" w:sz="4" w:space="0" w:color="auto"/>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Předběžné platby do roku 2018</w:t>
            </w:r>
          </w:p>
        </w:tc>
        <w:tc>
          <w:tcPr>
            <w:tcW w:w="892" w:type="pct"/>
            <w:tcBorders>
              <w:top w:val="single" w:sz="4" w:space="0" w:color="auto"/>
              <w:left w:val="nil"/>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Odeslané žádosti o platbu do 3</w:t>
            </w:r>
            <w:r w:rsidR="00A51D70">
              <w:rPr>
                <w:rFonts w:eastAsia="Times New Roman"/>
                <w:b/>
                <w:bCs/>
                <w:color w:val="FFFFFF" w:themeColor="background1"/>
                <w:sz w:val="18"/>
                <w:szCs w:val="18"/>
              </w:rPr>
              <w:t>0</w:t>
            </w:r>
            <w:r w:rsidRPr="000633D9">
              <w:rPr>
                <w:rFonts w:eastAsia="Times New Roman"/>
                <w:b/>
                <w:bCs/>
                <w:color w:val="FFFFFF" w:themeColor="background1"/>
                <w:sz w:val="18"/>
                <w:szCs w:val="18"/>
              </w:rPr>
              <w:t>/</w:t>
            </w:r>
            <w:r w:rsidR="00A51D70">
              <w:rPr>
                <w:rFonts w:eastAsia="Times New Roman"/>
                <w:b/>
                <w:bCs/>
                <w:color w:val="FFFFFF" w:themeColor="background1"/>
                <w:sz w:val="18"/>
                <w:szCs w:val="18"/>
              </w:rPr>
              <w:t>4</w:t>
            </w:r>
            <w:r w:rsidRPr="000633D9">
              <w:rPr>
                <w:rFonts w:eastAsia="Times New Roman"/>
                <w:b/>
                <w:bCs/>
                <w:color w:val="FFFFFF" w:themeColor="background1"/>
                <w:sz w:val="18"/>
                <w:szCs w:val="18"/>
              </w:rPr>
              <w:t>/2018</w:t>
            </w:r>
          </w:p>
        </w:tc>
        <w:tc>
          <w:tcPr>
            <w:tcW w:w="478" w:type="pct"/>
            <w:tcBorders>
              <w:top w:val="single" w:sz="4" w:space="0" w:color="auto"/>
              <w:left w:val="nil"/>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Plnění limitu v %</w:t>
            </w:r>
          </w:p>
        </w:tc>
        <w:tc>
          <w:tcPr>
            <w:tcW w:w="687" w:type="pct"/>
            <w:tcBorders>
              <w:top w:val="single" w:sz="4" w:space="0" w:color="auto"/>
              <w:left w:val="nil"/>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Zbývá vyčerpat v roce 2018</w:t>
            </w:r>
          </w:p>
        </w:tc>
      </w:tr>
      <w:tr w:rsidR="0023748F" w:rsidRPr="00145A66" w:rsidTr="00FD15E3">
        <w:trPr>
          <w:trHeight w:val="711"/>
        </w:trPr>
        <w:tc>
          <w:tcPr>
            <w:tcW w:w="1160" w:type="pct"/>
            <w:vMerge/>
            <w:tcBorders>
              <w:top w:val="single" w:sz="4" w:space="0" w:color="auto"/>
              <w:left w:val="single" w:sz="4" w:space="0" w:color="auto"/>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p>
        </w:tc>
        <w:tc>
          <w:tcPr>
            <w:tcW w:w="892" w:type="pct"/>
            <w:tcBorders>
              <w:top w:val="single" w:sz="4" w:space="0" w:color="auto"/>
              <w:left w:val="nil"/>
              <w:bottom w:val="single" w:sz="4" w:space="0" w:color="auto"/>
              <w:right w:val="nil"/>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EUR</w:t>
            </w:r>
          </w:p>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(podíl EU)</w:t>
            </w:r>
          </w:p>
        </w:tc>
        <w:tc>
          <w:tcPr>
            <w:tcW w:w="892" w:type="pct"/>
            <w:tcBorders>
              <w:top w:val="single" w:sz="4" w:space="0" w:color="auto"/>
              <w:left w:val="single" w:sz="4" w:space="0" w:color="auto"/>
              <w:bottom w:val="single" w:sz="4" w:space="0" w:color="auto"/>
              <w:right w:val="nil"/>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EUR</w:t>
            </w:r>
          </w:p>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(podíl EU)</w:t>
            </w:r>
          </w:p>
        </w:tc>
        <w:tc>
          <w:tcPr>
            <w:tcW w:w="892" w:type="pct"/>
            <w:tcBorders>
              <w:top w:val="single" w:sz="4" w:space="0" w:color="auto"/>
              <w:left w:val="single" w:sz="4" w:space="0" w:color="auto"/>
              <w:bottom w:val="single" w:sz="4" w:space="0" w:color="auto"/>
              <w:right w:val="nil"/>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EUR</w:t>
            </w:r>
          </w:p>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(podíl EU)</w:t>
            </w:r>
          </w:p>
        </w:tc>
        <w:tc>
          <w:tcPr>
            <w:tcW w:w="478" w:type="pct"/>
            <w:tcBorders>
              <w:top w:val="single" w:sz="4" w:space="0" w:color="auto"/>
              <w:left w:val="single" w:sz="4" w:space="0" w:color="auto"/>
              <w:bottom w:val="single" w:sz="4" w:space="0" w:color="auto"/>
              <w:right w:val="nil"/>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w:t>
            </w:r>
          </w:p>
        </w:tc>
        <w:tc>
          <w:tcPr>
            <w:tcW w:w="687" w:type="pct"/>
            <w:tcBorders>
              <w:top w:val="single" w:sz="4" w:space="0" w:color="auto"/>
              <w:left w:val="single" w:sz="4" w:space="0" w:color="auto"/>
              <w:bottom w:val="single" w:sz="4" w:space="0" w:color="auto"/>
              <w:right w:val="single" w:sz="4" w:space="0" w:color="auto"/>
            </w:tcBorders>
            <w:shd w:val="clear" w:color="auto" w:fill="000099"/>
            <w:vAlign w:val="center"/>
            <w:hideMark/>
          </w:tcPr>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EUR</w:t>
            </w:r>
          </w:p>
          <w:p w:rsidR="008A12AD" w:rsidRPr="000633D9" w:rsidRDefault="008A12AD"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(podíl EU)</w:t>
            </w:r>
          </w:p>
        </w:tc>
      </w:tr>
      <w:tr w:rsidR="00304F05" w:rsidRPr="00EA5B7B" w:rsidTr="00FD15E3">
        <w:trPr>
          <w:trHeight w:val="369"/>
        </w:trPr>
        <w:tc>
          <w:tcPr>
            <w:tcW w:w="1160" w:type="pct"/>
            <w:tcBorders>
              <w:top w:val="single" w:sz="4" w:space="0" w:color="auto"/>
              <w:left w:val="single" w:sz="4" w:space="0" w:color="auto"/>
              <w:bottom w:val="nil"/>
              <w:right w:val="single" w:sz="4" w:space="0" w:color="auto"/>
            </w:tcBorders>
            <w:shd w:val="clear" w:color="auto" w:fill="auto"/>
            <w:vAlign w:val="center"/>
            <w:hideMark/>
          </w:tcPr>
          <w:p w:rsidR="00304F05" w:rsidRPr="00EA5B7B" w:rsidRDefault="00304F05" w:rsidP="00304F05">
            <w:pPr>
              <w:spacing w:after="0" w:line="240" w:lineRule="auto"/>
              <w:jc w:val="left"/>
              <w:rPr>
                <w:rFonts w:eastAsia="Times New Roman"/>
                <w:color w:val="000000"/>
                <w:sz w:val="18"/>
                <w:szCs w:val="18"/>
              </w:rPr>
            </w:pPr>
            <w:r w:rsidRPr="00145A66">
              <w:rPr>
                <w:rFonts w:eastAsia="Times New Roman"/>
                <w:color w:val="000000"/>
                <w:sz w:val="18"/>
                <w:szCs w:val="18"/>
              </w:rPr>
              <w:t xml:space="preserve">OP </w:t>
            </w:r>
            <w:r>
              <w:rPr>
                <w:rFonts w:eastAsia="Times New Roman"/>
                <w:color w:val="000000"/>
                <w:sz w:val="18"/>
                <w:szCs w:val="18"/>
              </w:rPr>
              <w:t>PIK</w:t>
            </w:r>
            <w:r w:rsidRPr="00145A66">
              <w:rPr>
                <w:rFonts w:eastAsia="Times New Roman"/>
                <w:color w:val="000000"/>
                <w:sz w:val="18"/>
                <w:szCs w:val="18"/>
              </w:rPr>
              <w:t xml:space="preserve"> (MPO)</w:t>
            </w:r>
          </w:p>
        </w:tc>
        <w:tc>
          <w:tcPr>
            <w:tcW w:w="892" w:type="pct"/>
            <w:tcBorders>
              <w:top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1 106 160 536</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422 386 882</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267 034 476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62,3%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416 739 179</w:t>
            </w:r>
          </w:p>
        </w:tc>
      </w:tr>
      <w:tr w:rsidR="00304F05" w:rsidRPr="00EA5B7B" w:rsidTr="00FD15E3">
        <w:trPr>
          <w:trHeight w:val="369"/>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OP VVV</w:t>
            </w:r>
            <w:r w:rsidRPr="00145A66">
              <w:rPr>
                <w:rFonts w:eastAsia="Times New Roman"/>
                <w:color w:val="000000"/>
                <w:sz w:val="18"/>
                <w:szCs w:val="18"/>
              </w:rPr>
              <w:t xml:space="preserve"> (MŠMT)</w:t>
            </w:r>
          </w:p>
        </w:tc>
        <w:tc>
          <w:tcPr>
            <w:tcW w:w="892" w:type="pct"/>
            <w:tcBorders>
              <w:top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706 967 628</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269 955 257</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148 242 012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59,2%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288 770 358</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sidRPr="00145A66">
              <w:rPr>
                <w:rFonts w:eastAsia="Times New Roman"/>
                <w:color w:val="000000"/>
                <w:sz w:val="18"/>
                <w:szCs w:val="18"/>
              </w:rPr>
              <w:t>OP Z (MPSV)</w:t>
            </w:r>
          </w:p>
        </w:tc>
        <w:tc>
          <w:tcPr>
            <w:tcW w:w="892" w:type="pct"/>
            <w:tcBorders>
              <w:top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558 967 420</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213 376 364</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427 707 233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114,7%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sidRPr="00145A66">
              <w:rPr>
                <w:rFonts w:eastAsia="Times New Roman"/>
                <w:color w:val="000000"/>
                <w:sz w:val="18"/>
                <w:szCs w:val="18"/>
              </w:rPr>
              <w:t>OP D (MD)</w:t>
            </w:r>
          </w:p>
        </w:tc>
        <w:tc>
          <w:tcPr>
            <w:tcW w:w="892" w:type="pct"/>
            <w:tcBorders>
              <w:top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1 191 989 914</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451 767 206</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782 109 120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103,5%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sidRPr="00145A66">
              <w:rPr>
                <w:rFonts w:eastAsia="Times New Roman"/>
                <w:color w:val="000000"/>
                <w:sz w:val="18"/>
                <w:szCs w:val="18"/>
              </w:rPr>
              <w:t xml:space="preserve">OP </w:t>
            </w:r>
            <w:r>
              <w:rPr>
                <w:rFonts w:eastAsia="Times New Roman"/>
                <w:color w:val="000000"/>
                <w:sz w:val="18"/>
                <w:szCs w:val="18"/>
              </w:rPr>
              <w:t>ŽP</w:t>
            </w:r>
            <w:r w:rsidRPr="00145A66">
              <w:rPr>
                <w:rFonts w:eastAsia="Times New Roman"/>
                <w:color w:val="000000"/>
                <w:sz w:val="18"/>
                <w:szCs w:val="18"/>
              </w:rPr>
              <w:t xml:space="preserve"> (MŽP)</w:t>
            </w:r>
          </w:p>
        </w:tc>
        <w:tc>
          <w:tcPr>
            <w:tcW w:w="892" w:type="pct"/>
            <w:tcBorders>
              <w:top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669 065 927</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259 341 643</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253 559 741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76,7%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156 164 543</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IROP</w:t>
            </w:r>
            <w:r w:rsidRPr="00145A66">
              <w:rPr>
                <w:rFonts w:eastAsia="Times New Roman"/>
                <w:color w:val="000000"/>
                <w:sz w:val="18"/>
                <w:szCs w:val="18"/>
              </w:rPr>
              <w:t xml:space="preserve"> (MMR)</w:t>
            </w:r>
          </w:p>
        </w:tc>
        <w:tc>
          <w:tcPr>
            <w:tcW w:w="892" w:type="pct"/>
            <w:tcBorders>
              <w:top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1 185 242 271</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452 584 206</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147 486 969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50,6%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585 171 096</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Pr>
                <w:rFonts w:eastAsia="Times New Roman"/>
                <w:color w:val="000000"/>
                <w:sz w:val="18"/>
                <w:szCs w:val="18"/>
              </w:rPr>
              <w:t>OP PPR (HMP)</w:t>
            </w:r>
          </w:p>
        </w:tc>
        <w:tc>
          <w:tcPr>
            <w:tcW w:w="892" w:type="pct"/>
            <w:tcBorders>
              <w:top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51 486 444</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19 660 075</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5 838 095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49,5%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4E3BB8" w:rsidRDefault="00304F05" w:rsidP="00304F05">
            <w:pPr>
              <w:spacing w:after="0" w:line="240" w:lineRule="auto"/>
              <w:jc w:val="right"/>
              <w:rPr>
                <w:color w:val="000000"/>
                <w:sz w:val="18"/>
                <w:szCs w:val="18"/>
              </w:rPr>
            </w:pPr>
            <w:r>
              <w:rPr>
                <w:color w:val="000000"/>
                <w:sz w:val="18"/>
                <w:szCs w:val="18"/>
              </w:rPr>
              <w:t>25</w:t>
            </w:r>
            <w:r w:rsidR="00926749">
              <w:rPr>
                <w:color w:val="000000"/>
                <w:sz w:val="18"/>
                <w:szCs w:val="18"/>
              </w:rPr>
              <w:t xml:space="preserve"> </w:t>
            </w:r>
            <w:r>
              <w:rPr>
                <w:color w:val="000000"/>
                <w:sz w:val="18"/>
                <w:szCs w:val="18"/>
              </w:rPr>
              <w:t>988</w:t>
            </w:r>
            <w:r w:rsidR="00926749">
              <w:rPr>
                <w:color w:val="000000"/>
                <w:sz w:val="18"/>
                <w:szCs w:val="18"/>
              </w:rPr>
              <w:t xml:space="preserve"> </w:t>
            </w:r>
            <w:r>
              <w:rPr>
                <w:color w:val="000000"/>
                <w:sz w:val="18"/>
                <w:szCs w:val="18"/>
              </w:rPr>
              <w:t>27</w:t>
            </w:r>
            <w:r w:rsidR="00926749">
              <w:rPr>
                <w:color w:val="000000"/>
                <w:sz w:val="18"/>
                <w:szCs w:val="18"/>
              </w:rPr>
              <w:t>4</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sidRPr="00145A66">
              <w:rPr>
                <w:rFonts w:eastAsia="Times New Roman"/>
                <w:color w:val="000000"/>
                <w:sz w:val="18"/>
                <w:szCs w:val="18"/>
              </w:rPr>
              <w:t>OP T</w:t>
            </w:r>
            <w:r>
              <w:rPr>
                <w:rFonts w:eastAsia="Times New Roman"/>
                <w:color w:val="000000"/>
                <w:sz w:val="18"/>
                <w:szCs w:val="18"/>
              </w:rPr>
              <w:t>P</w:t>
            </w:r>
            <w:r w:rsidRPr="00145A66">
              <w:rPr>
                <w:rFonts w:eastAsia="Times New Roman"/>
                <w:color w:val="000000"/>
                <w:sz w:val="18"/>
                <w:szCs w:val="18"/>
              </w:rPr>
              <w:t xml:space="preserve"> (MMR)</w:t>
            </w:r>
          </w:p>
        </w:tc>
        <w:tc>
          <w:tcPr>
            <w:tcW w:w="892" w:type="pct"/>
            <w:tcBorders>
              <w:top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60 465 405</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22 824 350</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44 553 029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111,4%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w:t>
            </w:r>
          </w:p>
        </w:tc>
      </w:tr>
      <w:tr w:rsidR="00304F05" w:rsidRPr="00EA5B7B"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Pr>
                <w:rFonts w:eastAsia="Times New Roman"/>
                <w:color w:val="000000"/>
                <w:sz w:val="18"/>
                <w:szCs w:val="18"/>
              </w:rPr>
              <w:t>PRV (MZ</w:t>
            </w:r>
            <w:r w:rsidRPr="00145A66">
              <w:rPr>
                <w:rFonts w:eastAsia="Times New Roman"/>
                <w:color w:val="000000"/>
                <w:sz w:val="18"/>
                <w:szCs w:val="18"/>
              </w:rPr>
              <w:t>e)</w:t>
            </w:r>
          </w:p>
        </w:tc>
        <w:tc>
          <w:tcPr>
            <w:tcW w:w="892" w:type="pct"/>
            <w:tcBorders>
              <w:top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443 590 954</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69 170 220</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780 168 591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191,5%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w:t>
            </w:r>
          </w:p>
        </w:tc>
      </w:tr>
      <w:tr w:rsidR="00304F05" w:rsidRPr="00145A66" w:rsidTr="00FD15E3">
        <w:trPr>
          <w:trHeight w:val="369"/>
        </w:trPr>
        <w:tc>
          <w:tcPr>
            <w:tcW w:w="1160" w:type="pct"/>
            <w:tcBorders>
              <w:top w:val="nil"/>
              <w:left w:val="single" w:sz="4" w:space="0" w:color="auto"/>
              <w:bottom w:val="single" w:sz="4" w:space="0" w:color="auto"/>
              <w:right w:val="single" w:sz="4" w:space="0" w:color="auto"/>
            </w:tcBorders>
            <w:shd w:val="clear" w:color="auto" w:fill="auto"/>
            <w:vAlign w:val="center"/>
            <w:hideMark/>
          </w:tcPr>
          <w:p w:rsidR="00304F05" w:rsidRPr="00145A66" w:rsidRDefault="00304F05" w:rsidP="00304F05">
            <w:pPr>
              <w:spacing w:after="0" w:line="240" w:lineRule="auto"/>
              <w:jc w:val="left"/>
              <w:rPr>
                <w:rFonts w:eastAsia="Times New Roman"/>
                <w:color w:val="000000"/>
                <w:sz w:val="18"/>
                <w:szCs w:val="18"/>
              </w:rPr>
            </w:pPr>
            <w:r>
              <w:rPr>
                <w:rFonts w:eastAsia="Times New Roman"/>
                <w:color w:val="000000"/>
                <w:sz w:val="18"/>
                <w:szCs w:val="18"/>
              </w:rPr>
              <w:t>OP R (MZ</w:t>
            </w:r>
            <w:r w:rsidRPr="00145A66">
              <w:rPr>
                <w:rFonts w:eastAsia="Times New Roman"/>
                <w:color w:val="000000"/>
                <w:sz w:val="18"/>
                <w:szCs w:val="18"/>
              </w:rPr>
              <w:t>e)</w:t>
            </w:r>
          </w:p>
        </w:tc>
        <w:tc>
          <w:tcPr>
            <w:tcW w:w="892" w:type="pct"/>
            <w:tcBorders>
              <w:top w:val="single" w:sz="4" w:space="0" w:color="auto"/>
              <w:bottom w:val="single" w:sz="4" w:space="0" w:color="auto"/>
              <w:right w:val="single" w:sz="4" w:space="0" w:color="auto"/>
            </w:tcBorders>
            <w:shd w:val="clear" w:color="000000" w:fill="FFFFFF"/>
            <w:noWrap/>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8 067 476</w:t>
            </w:r>
          </w:p>
        </w:tc>
        <w:tc>
          <w:tcPr>
            <w:tcW w:w="89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3 033 809</w:t>
            </w:r>
          </w:p>
        </w:tc>
        <w:tc>
          <w:tcPr>
            <w:tcW w:w="89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4F05" w:rsidRPr="0095269D" w:rsidRDefault="00304F05" w:rsidP="00304F05">
            <w:pPr>
              <w:spacing w:after="0" w:line="240" w:lineRule="auto"/>
              <w:jc w:val="right"/>
              <w:rPr>
                <w:rFonts w:eastAsia="Times New Roman"/>
                <w:color w:val="000000"/>
                <w:sz w:val="18"/>
                <w:szCs w:val="18"/>
              </w:rPr>
            </w:pPr>
            <w:r>
              <w:rPr>
                <w:color w:val="000000"/>
                <w:sz w:val="18"/>
                <w:szCs w:val="18"/>
              </w:rPr>
              <w:t>1 720 589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58,9%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3 313 078</w:t>
            </w:r>
          </w:p>
        </w:tc>
      </w:tr>
      <w:tr w:rsidR="0023748F" w:rsidRPr="00EA5B7B" w:rsidTr="00FD15E3">
        <w:trPr>
          <w:trHeight w:val="369"/>
        </w:trPr>
        <w:tc>
          <w:tcPr>
            <w:tcW w:w="11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4F05" w:rsidRPr="00582E9A" w:rsidRDefault="00304F05" w:rsidP="00304F05">
            <w:pPr>
              <w:spacing w:after="0" w:line="240" w:lineRule="auto"/>
              <w:jc w:val="left"/>
              <w:rPr>
                <w:rFonts w:eastAsia="Times New Roman"/>
                <w:b/>
                <w:bCs/>
                <w:sz w:val="18"/>
                <w:szCs w:val="18"/>
              </w:rPr>
            </w:pPr>
            <w:r w:rsidRPr="00582E9A">
              <w:rPr>
                <w:rFonts w:eastAsia="Times New Roman"/>
                <w:b/>
                <w:bCs/>
                <w:sz w:val="18"/>
                <w:szCs w:val="18"/>
              </w:rPr>
              <w:t>Celkem</w:t>
            </w:r>
          </w:p>
        </w:tc>
        <w:tc>
          <w:tcPr>
            <w:tcW w:w="892" w:type="pct"/>
            <w:tcBorders>
              <w:top w:val="single" w:sz="4" w:space="0" w:color="auto"/>
              <w:bottom w:val="single" w:sz="4" w:space="0" w:color="auto"/>
              <w:right w:val="single" w:sz="4" w:space="0" w:color="auto"/>
            </w:tcBorders>
            <w:shd w:val="clear" w:color="auto" w:fill="F2F2F2" w:themeFill="background1" w:themeFillShade="F2"/>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5 982 003 975</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2 184 100 012</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2 858 419 856</w:t>
            </w:r>
          </w:p>
        </w:tc>
        <w:tc>
          <w:tcPr>
            <w:tcW w:w="4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84,3%</w:t>
            </w:r>
          </w:p>
        </w:tc>
        <w:tc>
          <w:tcPr>
            <w:tcW w:w="6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1 476 146 527</w:t>
            </w:r>
          </w:p>
        </w:tc>
      </w:tr>
    </w:tbl>
    <w:p w:rsidR="008A12AD" w:rsidRPr="00F05040" w:rsidRDefault="008A12AD" w:rsidP="00F05040">
      <w:pPr>
        <w:pStyle w:val="TabulkaNOK-zdroj"/>
        <w:spacing w:before="0" w:after="0"/>
        <w:jc w:val="left"/>
      </w:pPr>
      <w:r w:rsidRPr="00F05040">
        <w:t>Zdroj: MF-PCO, řídicí orgán PRV, stav ke dni 3</w:t>
      </w:r>
      <w:r w:rsidR="00DE21AB">
        <w:t>0</w:t>
      </w:r>
      <w:r w:rsidRPr="00F05040">
        <w:t xml:space="preserve">. </w:t>
      </w:r>
      <w:r w:rsidR="00DE21AB">
        <w:t>dubna</w:t>
      </w:r>
      <w:r w:rsidRPr="00F05040">
        <w:t xml:space="preserve"> 2018</w:t>
      </w:r>
    </w:p>
    <w:p w:rsidR="008A12AD" w:rsidRDefault="008A12AD" w:rsidP="004E3BB8">
      <w:pPr>
        <w:spacing w:before="360"/>
        <w:rPr>
          <w:color w:val="000000" w:themeColor="text1"/>
          <w:szCs w:val="20"/>
          <w:bdr w:val="none" w:sz="0" w:space="0" w:color="auto" w:frame="1"/>
        </w:rPr>
      </w:pPr>
    </w:p>
    <w:p w:rsidR="00F56FC1" w:rsidRDefault="00F56FC1">
      <w:pPr>
        <w:spacing w:after="200" w:line="276" w:lineRule="auto"/>
        <w:jc w:val="left"/>
        <w:rPr>
          <w:b/>
          <w:color w:val="000000" w:themeColor="text1"/>
          <w:szCs w:val="20"/>
          <w:u w:val="single"/>
          <w:bdr w:val="none" w:sz="0" w:space="0" w:color="auto" w:frame="1"/>
        </w:rPr>
      </w:pPr>
      <w:r>
        <w:rPr>
          <w:b/>
          <w:color w:val="000000" w:themeColor="text1"/>
          <w:szCs w:val="20"/>
          <w:u w:val="single"/>
          <w:bdr w:val="none" w:sz="0" w:space="0" w:color="auto" w:frame="1"/>
        </w:rPr>
        <w:br w:type="page"/>
      </w:r>
    </w:p>
    <w:p w:rsidR="008A12AD" w:rsidRPr="00F42C96" w:rsidRDefault="008A12AD" w:rsidP="008A12AD">
      <w:pPr>
        <w:spacing w:before="60"/>
        <w:rPr>
          <w:b/>
          <w:color w:val="000000" w:themeColor="text1"/>
          <w:szCs w:val="20"/>
          <w:u w:val="single"/>
          <w:bdr w:val="none" w:sz="0" w:space="0" w:color="auto" w:frame="1"/>
        </w:rPr>
      </w:pPr>
      <w:r w:rsidRPr="00F42C96">
        <w:rPr>
          <w:b/>
          <w:color w:val="000000" w:themeColor="text1"/>
          <w:szCs w:val="20"/>
          <w:u w:val="single"/>
          <w:bdr w:val="none" w:sz="0" w:space="0" w:color="auto" w:frame="1"/>
        </w:rPr>
        <w:lastRenderedPageBreak/>
        <w:t>Plnění predikcí souhrnných žádostí ŘO</w:t>
      </w:r>
    </w:p>
    <w:p w:rsidR="008A12AD" w:rsidRDefault="008A12AD" w:rsidP="008A12AD">
      <w:pPr>
        <w:spacing w:before="60"/>
        <w:rPr>
          <w:color w:val="000000" w:themeColor="text1"/>
          <w:szCs w:val="20"/>
          <w:bdr w:val="none" w:sz="0" w:space="0" w:color="auto" w:frame="1"/>
        </w:rPr>
      </w:pPr>
      <w:r>
        <w:rPr>
          <w:color w:val="000000" w:themeColor="text1"/>
          <w:szCs w:val="20"/>
          <w:bdr w:val="none" w:sz="0" w:space="0" w:color="auto" w:frame="1"/>
        </w:rPr>
        <w:t xml:space="preserve">Tabulka č. 5 uvádí plnění predikce souhrnných žádostí řídicími orgány v roce 2018 za jednotlivé programy a také v součtu za samotné fondy, bez zahrnutí Programu venkova. </w:t>
      </w:r>
      <w:r w:rsidRPr="0060106D">
        <w:rPr>
          <w:b/>
          <w:color w:val="000000" w:themeColor="text1"/>
          <w:szCs w:val="20"/>
          <w:bdr w:val="none" w:sz="0" w:space="0" w:color="auto" w:frame="1"/>
        </w:rPr>
        <w:t>Za celý rok je predikována hodnota souhrnných žádostí 74,</w:t>
      </w:r>
      <w:r w:rsidR="00304F05">
        <w:rPr>
          <w:b/>
          <w:color w:val="000000" w:themeColor="text1"/>
          <w:szCs w:val="20"/>
          <w:bdr w:val="none" w:sz="0" w:space="0" w:color="auto" w:frame="1"/>
        </w:rPr>
        <w:t>0</w:t>
      </w:r>
      <w:r w:rsidRPr="0060106D">
        <w:rPr>
          <w:b/>
          <w:color w:val="000000" w:themeColor="text1"/>
          <w:szCs w:val="20"/>
          <w:bdr w:val="none" w:sz="0" w:space="0" w:color="auto" w:frame="1"/>
        </w:rPr>
        <w:t xml:space="preserve"> mld. Kč, </w:t>
      </w:r>
      <w:r w:rsidR="002A7C6F">
        <w:rPr>
          <w:b/>
          <w:color w:val="000000" w:themeColor="text1"/>
          <w:szCs w:val="20"/>
          <w:bdr w:val="none" w:sz="0" w:space="0" w:color="auto" w:frame="1"/>
        </w:rPr>
        <w:t xml:space="preserve">do konce měsíce </w:t>
      </w:r>
      <w:r w:rsidR="00304F05">
        <w:rPr>
          <w:b/>
          <w:color w:val="000000" w:themeColor="text1"/>
          <w:szCs w:val="20"/>
          <w:bdr w:val="none" w:sz="0" w:space="0" w:color="auto" w:frame="1"/>
        </w:rPr>
        <w:t xml:space="preserve">dubna </w:t>
      </w:r>
      <w:r w:rsidRPr="0060106D">
        <w:rPr>
          <w:b/>
          <w:color w:val="000000" w:themeColor="text1"/>
          <w:szCs w:val="20"/>
          <w:bdr w:val="none" w:sz="0" w:space="0" w:color="auto" w:frame="1"/>
        </w:rPr>
        <w:t xml:space="preserve">byla skutečná hodnota souhrnných žádostí celkem </w:t>
      </w:r>
      <w:r w:rsidR="00304F05">
        <w:rPr>
          <w:b/>
          <w:color w:val="000000" w:themeColor="text1"/>
          <w:szCs w:val="20"/>
          <w:bdr w:val="none" w:sz="0" w:space="0" w:color="auto" w:frame="1"/>
        </w:rPr>
        <w:t>14</w:t>
      </w:r>
      <w:r w:rsidR="002A7C6F">
        <w:rPr>
          <w:b/>
          <w:color w:val="000000" w:themeColor="text1"/>
          <w:szCs w:val="20"/>
          <w:bdr w:val="none" w:sz="0" w:space="0" w:color="auto" w:frame="1"/>
        </w:rPr>
        <w:t>,</w:t>
      </w:r>
      <w:r w:rsidR="00304F05">
        <w:rPr>
          <w:b/>
          <w:color w:val="000000" w:themeColor="text1"/>
          <w:szCs w:val="20"/>
          <w:bdr w:val="none" w:sz="0" w:space="0" w:color="auto" w:frame="1"/>
        </w:rPr>
        <w:t>1</w:t>
      </w:r>
      <w:r w:rsidRPr="0060106D">
        <w:rPr>
          <w:b/>
          <w:color w:val="000000" w:themeColor="text1"/>
          <w:szCs w:val="20"/>
          <w:bdr w:val="none" w:sz="0" w:space="0" w:color="auto" w:frame="1"/>
        </w:rPr>
        <w:t xml:space="preserve"> </w:t>
      </w:r>
      <w:r>
        <w:rPr>
          <w:b/>
          <w:color w:val="000000" w:themeColor="text1"/>
          <w:szCs w:val="20"/>
          <w:bdr w:val="none" w:sz="0" w:space="0" w:color="auto" w:frame="1"/>
        </w:rPr>
        <w:t xml:space="preserve">mld. Kč (tj. </w:t>
      </w:r>
      <w:r w:rsidR="002A7C6F">
        <w:rPr>
          <w:b/>
          <w:color w:val="000000" w:themeColor="text1"/>
          <w:szCs w:val="20"/>
          <w:bdr w:val="none" w:sz="0" w:space="0" w:color="auto" w:frame="1"/>
        </w:rPr>
        <w:t>1</w:t>
      </w:r>
      <w:r w:rsidR="00304F05">
        <w:rPr>
          <w:b/>
          <w:color w:val="000000" w:themeColor="text1"/>
          <w:szCs w:val="20"/>
          <w:bdr w:val="none" w:sz="0" w:space="0" w:color="auto" w:frame="1"/>
        </w:rPr>
        <w:t>8</w:t>
      </w:r>
      <w:r w:rsidR="002A7C6F">
        <w:rPr>
          <w:b/>
          <w:color w:val="000000" w:themeColor="text1"/>
          <w:szCs w:val="20"/>
          <w:bdr w:val="none" w:sz="0" w:space="0" w:color="auto" w:frame="1"/>
        </w:rPr>
        <w:t>,9</w:t>
      </w:r>
      <w:r w:rsidR="00304F05">
        <w:rPr>
          <w:b/>
          <w:color w:val="000000" w:themeColor="text1"/>
          <w:szCs w:val="20"/>
          <w:bdr w:val="none" w:sz="0" w:space="0" w:color="auto" w:frame="1"/>
        </w:rPr>
        <w:t>9</w:t>
      </w:r>
      <w:r>
        <w:rPr>
          <w:b/>
          <w:color w:val="000000" w:themeColor="text1"/>
          <w:szCs w:val="20"/>
          <w:bdr w:val="none" w:sz="0" w:space="0" w:color="auto" w:frame="1"/>
        </w:rPr>
        <w:t xml:space="preserve"> % celoročního </w:t>
      </w:r>
      <w:r w:rsidRPr="0060106D">
        <w:rPr>
          <w:b/>
          <w:color w:val="000000" w:themeColor="text1"/>
          <w:szCs w:val="20"/>
          <w:bdr w:val="none" w:sz="0" w:space="0" w:color="auto" w:frame="1"/>
        </w:rPr>
        <w:t>o</w:t>
      </w:r>
      <w:r>
        <w:rPr>
          <w:b/>
          <w:color w:val="000000" w:themeColor="text1"/>
          <w:szCs w:val="20"/>
          <w:bdr w:val="none" w:sz="0" w:space="0" w:color="auto" w:frame="1"/>
        </w:rPr>
        <w:t>d</w:t>
      </w:r>
      <w:r w:rsidRPr="0060106D">
        <w:rPr>
          <w:b/>
          <w:color w:val="000000" w:themeColor="text1"/>
          <w:szCs w:val="20"/>
          <w:bdr w:val="none" w:sz="0" w:space="0" w:color="auto" w:frame="1"/>
        </w:rPr>
        <w:t>hadu)</w:t>
      </w:r>
      <w:r w:rsidRPr="00E45954">
        <w:rPr>
          <w:color w:val="000000" w:themeColor="text1"/>
          <w:szCs w:val="20"/>
          <w:bdr w:val="none" w:sz="0" w:space="0" w:color="auto" w:frame="1"/>
        </w:rPr>
        <w:t xml:space="preserve">. </w:t>
      </w:r>
    </w:p>
    <w:p w:rsidR="00AC2442" w:rsidRPr="00137BEF" w:rsidRDefault="00AC2442" w:rsidP="00F05040">
      <w:pPr>
        <w:pStyle w:val="Titulektabulky"/>
        <w:spacing w:after="0"/>
      </w:pPr>
      <w:r>
        <w:t xml:space="preserve">Tabulka č. 5 </w:t>
      </w:r>
      <w:r w:rsidRPr="00137BEF">
        <w:t xml:space="preserve">– </w:t>
      </w:r>
      <w:r w:rsidRPr="00482A8A">
        <w:t>Odhad výše</w:t>
      </w:r>
      <w:r>
        <w:t xml:space="preserve"> souhrnných žádostí období 2014–</w:t>
      </w:r>
      <w:r w:rsidR="0095269D">
        <w:t>2020 v roce 2018 k 3</w:t>
      </w:r>
      <w:r w:rsidR="00DE21AB">
        <w:t>0</w:t>
      </w:r>
      <w:r w:rsidR="0095269D">
        <w:t xml:space="preserve">. </w:t>
      </w:r>
      <w:r w:rsidR="00DE21AB">
        <w:t>dubn</w:t>
      </w:r>
      <w:r w:rsidR="00B03022">
        <w:t>u</w:t>
      </w:r>
      <w:r w:rsidRPr="00482A8A">
        <w:t xml:space="preserve"> 2018</w:t>
      </w:r>
    </w:p>
    <w:tbl>
      <w:tblPr>
        <w:tblW w:w="494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0"/>
        <w:gridCol w:w="1134"/>
        <w:gridCol w:w="2852"/>
        <w:gridCol w:w="10"/>
        <w:gridCol w:w="2842"/>
        <w:gridCol w:w="20"/>
        <w:gridCol w:w="1361"/>
      </w:tblGrid>
      <w:tr w:rsidR="00C36606" w:rsidRPr="00EA5B7B" w:rsidTr="004E3BB8">
        <w:trPr>
          <w:trHeight w:val="786"/>
          <w:tblHeader/>
        </w:trPr>
        <w:tc>
          <w:tcPr>
            <w:tcW w:w="798" w:type="pct"/>
            <w:vMerge w:val="restart"/>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Program (ŘO)</w:t>
            </w:r>
          </w:p>
          <w:p w:rsidR="00AC2442" w:rsidRPr="000633D9" w:rsidRDefault="00AC2442" w:rsidP="001F20EF">
            <w:pPr>
              <w:spacing w:after="0" w:line="240" w:lineRule="auto"/>
              <w:jc w:val="center"/>
              <w:rPr>
                <w:rFonts w:eastAsia="Times New Roman"/>
                <w:b/>
                <w:bCs/>
                <w:color w:val="FFFFFF" w:themeColor="background1"/>
                <w:sz w:val="18"/>
                <w:szCs w:val="18"/>
              </w:rPr>
            </w:pPr>
          </w:p>
        </w:tc>
        <w:tc>
          <w:tcPr>
            <w:tcW w:w="580" w:type="pct"/>
            <w:vMerge w:val="restart"/>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Fond</w:t>
            </w:r>
          </w:p>
          <w:p w:rsidR="00AC2442" w:rsidRPr="000633D9" w:rsidRDefault="00AC2442" w:rsidP="001F20EF">
            <w:pPr>
              <w:spacing w:after="0" w:line="240" w:lineRule="auto"/>
              <w:jc w:val="center"/>
              <w:rPr>
                <w:rFonts w:eastAsia="Times New Roman"/>
                <w:b/>
                <w:bCs/>
                <w:color w:val="FFFFFF" w:themeColor="background1"/>
                <w:sz w:val="18"/>
                <w:szCs w:val="18"/>
              </w:rPr>
            </w:pPr>
          </w:p>
        </w:tc>
        <w:tc>
          <w:tcPr>
            <w:tcW w:w="1458" w:type="pct"/>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 xml:space="preserve">Odhad výše souhrnných žádostí </w:t>
            </w:r>
            <w:r w:rsidRPr="000633D9">
              <w:rPr>
                <w:rFonts w:eastAsia="Times New Roman"/>
                <w:b/>
                <w:bCs/>
                <w:color w:val="FFFFFF" w:themeColor="background1"/>
                <w:sz w:val="18"/>
                <w:szCs w:val="18"/>
              </w:rPr>
              <w:br/>
              <w:t>v roce 2018</w:t>
            </w:r>
          </w:p>
        </w:tc>
        <w:tc>
          <w:tcPr>
            <w:tcW w:w="1458" w:type="pct"/>
            <w:gridSpan w:val="2"/>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Schválené souhrnné žádosti od řídicích orgánů</w:t>
            </w:r>
          </w:p>
        </w:tc>
        <w:tc>
          <w:tcPr>
            <w:tcW w:w="706" w:type="pct"/>
            <w:gridSpan w:val="2"/>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Plnění odhadu</w:t>
            </w:r>
          </w:p>
        </w:tc>
      </w:tr>
      <w:tr w:rsidR="00C36606" w:rsidRPr="00EA5B7B" w:rsidTr="004E3BB8">
        <w:trPr>
          <w:trHeight w:val="435"/>
          <w:tblHeader/>
        </w:trPr>
        <w:tc>
          <w:tcPr>
            <w:tcW w:w="798" w:type="pct"/>
            <w:vMerge/>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p>
        </w:tc>
        <w:tc>
          <w:tcPr>
            <w:tcW w:w="580" w:type="pct"/>
            <w:vMerge/>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p>
        </w:tc>
        <w:tc>
          <w:tcPr>
            <w:tcW w:w="1458" w:type="pct"/>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CZK (podíl EU)</w:t>
            </w:r>
          </w:p>
        </w:tc>
        <w:tc>
          <w:tcPr>
            <w:tcW w:w="1458" w:type="pct"/>
            <w:gridSpan w:val="2"/>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CZK (podíl EU)</w:t>
            </w:r>
          </w:p>
        </w:tc>
        <w:tc>
          <w:tcPr>
            <w:tcW w:w="706" w:type="pct"/>
            <w:gridSpan w:val="2"/>
            <w:shd w:val="clear" w:color="auto" w:fill="000099"/>
            <w:vAlign w:val="center"/>
            <w:hideMark/>
          </w:tcPr>
          <w:p w:rsidR="00AC2442" w:rsidRPr="000633D9" w:rsidRDefault="00AC2442" w:rsidP="001F20EF">
            <w:pPr>
              <w:spacing w:after="0" w:line="240" w:lineRule="auto"/>
              <w:jc w:val="center"/>
              <w:rPr>
                <w:rFonts w:eastAsia="Times New Roman"/>
                <w:b/>
                <w:bCs/>
                <w:color w:val="FFFFFF" w:themeColor="background1"/>
                <w:sz w:val="18"/>
                <w:szCs w:val="18"/>
              </w:rPr>
            </w:pPr>
            <w:r w:rsidRPr="000633D9">
              <w:rPr>
                <w:rFonts w:eastAsia="Times New Roman"/>
                <w:b/>
                <w:bCs/>
                <w:color w:val="FFFFFF" w:themeColor="background1"/>
                <w:sz w:val="18"/>
                <w:szCs w:val="18"/>
              </w:rPr>
              <w:t>%</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PIK (MPO)</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14 245 000 000,00</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1 936 051 111,46</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13,59 %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VVV (MŠMT)</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r w:rsidRPr="00EA5B7B">
              <w:rPr>
                <w:rFonts w:eastAsia="Times New Roman"/>
                <w:color w:val="000000"/>
                <w:sz w:val="18"/>
                <w:szCs w:val="18"/>
              </w:rPr>
              <w:t>+ESF</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10 000 555 077,38</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1 469 090 196,78</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14,69 %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Z (MPSV)</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ESF (+YEI)</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8 452 959 252,64</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2 250 857 704,70</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26,63 %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D (MD)</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r w:rsidRPr="00EA5B7B">
              <w:rPr>
                <w:rFonts w:eastAsia="Times New Roman"/>
                <w:color w:val="000000"/>
                <w:sz w:val="18"/>
                <w:szCs w:val="18"/>
              </w:rPr>
              <w:t>+</w:t>
            </w:r>
            <w:r>
              <w:rPr>
                <w:rFonts w:eastAsia="Times New Roman"/>
                <w:color w:val="000000"/>
                <w:sz w:val="18"/>
                <w:szCs w:val="18"/>
              </w:rPr>
              <w:t>FS</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11 231 847 202,52</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3 407 776 612,43</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30,34 %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ŽP (MŽP)</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r w:rsidRPr="00EA5B7B">
              <w:rPr>
                <w:rFonts w:eastAsia="Times New Roman"/>
                <w:color w:val="000000"/>
                <w:sz w:val="18"/>
                <w:szCs w:val="18"/>
              </w:rPr>
              <w:t>+</w:t>
            </w:r>
            <w:r>
              <w:rPr>
                <w:rFonts w:eastAsia="Times New Roman"/>
                <w:color w:val="000000"/>
                <w:sz w:val="18"/>
                <w:szCs w:val="18"/>
              </w:rPr>
              <w:t>FS</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12 220 724 565,05</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1 957 488 779,32</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16,02 %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IROP (MMR)</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16 352 581 523,85</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2 865 625 018,50</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17,52 %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PPR (HMP)</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r w:rsidRPr="00EA5B7B">
              <w:rPr>
                <w:rFonts w:eastAsia="Times New Roman"/>
                <w:color w:val="000000"/>
                <w:sz w:val="18"/>
                <w:szCs w:val="18"/>
              </w:rPr>
              <w:t>+ESF</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792 939 324,49</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24 740 949,55</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3,12 %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TP (MMR)</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FS</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597 385 294,00</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140 982 823,04</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23,60 %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OP R (MZe)</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ENRF</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106 050 535,00</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0,00 %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b/>
                <w:bCs/>
                <w:color w:val="000000"/>
                <w:sz w:val="18"/>
                <w:szCs w:val="18"/>
              </w:rPr>
            </w:pPr>
            <w:r w:rsidRPr="00EA5B7B">
              <w:rPr>
                <w:rFonts w:eastAsia="Times New Roman"/>
                <w:b/>
                <w:bCs/>
                <w:color w:val="000000"/>
                <w:sz w:val="18"/>
                <w:szCs w:val="18"/>
              </w:rPr>
              <w:t> </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b/>
                <w:bCs/>
                <w:color w:val="000000"/>
                <w:sz w:val="18"/>
                <w:szCs w:val="18"/>
              </w:rPr>
            </w:pPr>
            <w:r w:rsidRPr="00EA5B7B">
              <w:rPr>
                <w:rFonts w:eastAsia="Times New Roman"/>
                <w:b/>
                <w:bCs/>
                <w:color w:val="000000"/>
                <w:sz w:val="18"/>
                <w:szCs w:val="18"/>
              </w:rPr>
              <w:t> </w:t>
            </w:r>
          </w:p>
        </w:tc>
        <w:tc>
          <w:tcPr>
            <w:tcW w:w="1458" w:type="pct"/>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p>
        </w:tc>
        <w:tc>
          <w:tcPr>
            <w:tcW w:w="706" w:type="pct"/>
            <w:gridSpan w:val="2"/>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r>
              <w:rPr>
                <w:rFonts w:eastAsia="Times New Roman"/>
                <w:b/>
                <w:bCs/>
                <w:color w:val="000000"/>
                <w:sz w:val="18"/>
                <w:szCs w:val="18"/>
              </w:rPr>
              <w:t xml:space="preserve"> </w:t>
            </w:r>
          </w:p>
        </w:tc>
      </w:tr>
      <w:tr w:rsidR="00C36606" w:rsidRPr="00EA5B7B" w:rsidTr="004E3BB8">
        <w:trPr>
          <w:trHeight w:val="356"/>
        </w:trPr>
        <w:tc>
          <w:tcPr>
            <w:tcW w:w="798"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Celkem</w:t>
            </w: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EFRR</w:t>
            </w:r>
          </w:p>
        </w:tc>
        <w:tc>
          <w:tcPr>
            <w:tcW w:w="1458"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40 951 036 784,02</w:t>
            </w:r>
          </w:p>
        </w:tc>
        <w:tc>
          <w:tcPr>
            <w:tcW w:w="1458"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6 153 200 715,93</w:t>
            </w:r>
          </w:p>
        </w:tc>
        <w:tc>
          <w:tcPr>
            <w:tcW w:w="706"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15,03 %</w:t>
            </w:r>
          </w:p>
        </w:tc>
      </w:tr>
      <w:tr w:rsidR="00C36606" w:rsidRPr="00EA5B7B" w:rsidTr="004E3BB8">
        <w:trPr>
          <w:trHeight w:val="356"/>
        </w:trPr>
        <w:tc>
          <w:tcPr>
            <w:tcW w:w="798" w:type="pct"/>
            <w:vMerge w:val="restart"/>
            <w:shd w:val="clear" w:color="auto" w:fill="FFFFFF" w:themeFill="background1"/>
            <w:vAlign w:val="center"/>
            <w:hideMark/>
          </w:tcPr>
          <w:p w:rsidR="00304F05" w:rsidRPr="00EA5B7B" w:rsidRDefault="00304F05" w:rsidP="00304F05">
            <w:pPr>
              <w:spacing w:after="0" w:line="240" w:lineRule="auto"/>
              <w:jc w:val="left"/>
              <w:rPr>
                <w:rFonts w:eastAsia="Times New Roman"/>
                <w:color w:val="000000"/>
                <w:sz w:val="18"/>
                <w:szCs w:val="18"/>
              </w:rPr>
            </w:pP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FS</w:t>
            </w: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20 560 172 143,17</w:t>
            </w: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4 777 623 118,86</w:t>
            </w:r>
          </w:p>
        </w:tc>
        <w:tc>
          <w:tcPr>
            <w:tcW w:w="696"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23,24 %</w:t>
            </w:r>
          </w:p>
        </w:tc>
      </w:tr>
      <w:tr w:rsidR="00C36606" w:rsidRPr="00EA5B7B" w:rsidTr="004E3BB8">
        <w:trPr>
          <w:trHeight w:val="356"/>
        </w:trPr>
        <w:tc>
          <w:tcPr>
            <w:tcW w:w="798" w:type="pct"/>
            <w:vMerge/>
            <w:shd w:val="clear" w:color="auto" w:fill="FFFFFF" w:themeFill="background1"/>
            <w:vAlign w:val="center"/>
            <w:hideMark/>
          </w:tcPr>
          <w:p w:rsidR="00304F05" w:rsidRPr="00EA5B7B" w:rsidRDefault="00304F05" w:rsidP="00304F05">
            <w:pPr>
              <w:spacing w:after="0" w:line="240" w:lineRule="auto"/>
              <w:jc w:val="left"/>
              <w:rPr>
                <w:rFonts w:eastAsia="Times New Roman"/>
                <w:color w:val="000000"/>
                <w:sz w:val="18"/>
                <w:szCs w:val="18"/>
              </w:rPr>
            </w:pP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sidRPr="00EA5B7B">
              <w:rPr>
                <w:rFonts w:eastAsia="Times New Roman"/>
                <w:color w:val="000000"/>
                <w:sz w:val="18"/>
                <w:szCs w:val="18"/>
              </w:rPr>
              <w:t>ESF (+YEI)</w:t>
            </w: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12 382 783 312,74</w:t>
            </w: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3 121 789 360,99</w:t>
            </w:r>
          </w:p>
        </w:tc>
        <w:tc>
          <w:tcPr>
            <w:tcW w:w="696"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25,21 %</w:t>
            </w:r>
          </w:p>
        </w:tc>
      </w:tr>
      <w:tr w:rsidR="00C36606" w:rsidRPr="00EA5B7B" w:rsidTr="004E3BB8">
        <w:trPr>
          <w:trHeight w:val="356"/>
        </w:trPr>
        <w:tc>
          <w:tcPr>
            <w:tcW w:w="798" w:type="pct"/>
            <w:vMerge/>
            <w:shd w:val="clear" w:color="auto" w:fill="FFFFFF" w:themeFill="background1"/>
            <w:vAlign w:val="center"/>
            <w:hideMark/>
          </w:tcPr>
          <w:p w:rsidR="00304F05" w:rsidRPr="00EA5B7B" w:rsidRDefault="00304F05" w:rsidP="00304F05">
            <w:pPr>
              <w:spacing w:after="0" w:line="240" w:lineRule="auto"/>
              <w:jc w:val="left"/>
              <w:rPr>
                <w:rFonts w:eastAsia="Times New Roman"/>
                <w:color w:val="000000"/>
                <w:sz w:val="18"/>
                <w:szCs w:val="18"/>
              </w:rPr>
            </w:pPr>
          </w:p>
        </w:tc>
        <w:tc>
          <w:tcPr>
            <w:tcW w:w="580" w:type="pct"/>
            <w:shd w:val="clear" w:color="auto" w:fill="FFFFFF" w:themeFill="background1"/>
            <w:noWrap/>
            <w:vAlign w:val="center"/>
            <w:hideMark/>
          </w:tcPr>
          <w:p w:rsidR="00304F05" w:rsidRPr="00EA5B7B" w:rsidRDefault="00304F05" w:rsidP="00304F05">
            <w:pPr>
              <w:spacing w:after="0" w:line="240" w:lineRule="auto"/>
              <w:jc w:val="left"/>
              <w:rPr>
                <w:rFonts w:eastAsia="Times New Roman"/>
                <w:color w:val="000000"/>
                <w:sz w:val="18"/>
                <w:szCs w:val="18"/>
              </w:rPr>
            </w:pPr>
            <w:r>
              <w:rPr>
                <w:rFonts w:eastAsia="Times New Roman"/>
                <w:color w:val="000000"/>
                <w:sz w:val="18"/>
                <w:szCs w:val="18"/>
              </w:rPr>
              <w:t>ENRF</w:t>
            </w: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106 050 535,00</w:t>
            </w: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w:t>
            </w:r>
          </w:p>
        </w:tc>
        <w:tc>
          <w:tcPr>
            <w:tcW w:w="696" w:type="pct"/>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r>
              <w:rPr>
                <w:color w:val="000000"/>
                <w:sz w:val="18"/>
                <w:szCs w:val="18"/>
              </w:rPr>
              <w:t>0,00 %</w:t>
            </w:r>
          </w:p>
        </w:tc>
      </w:tr>
      <w:tr w:rsidR="00C36606" w:rsidRPr="00EA5B7B" w:rsidTr="004E3BB8">
        <w:trPr>
          <w:trHeight w:val="356"/>
        </w:trPr>
        <w:tc>
          <w:tcPr>
            <w:tcW w:w="798" w:type="pct"/>
            <w:shd w:val="clear" w:color="auto" w:fill="auto"/>
            <w:noWrap/>
            <w:vAlign w:val="center"/>
            <w:hideMark/>
          </w:tcPr>
          <w:p w:rsidR="00304F05" w:rsidRPr="00EA5B7B" w:rsidRDefault="00304F05" w:rsidP="00304F05">
            <w:pPr>
              <w:spacing w:after="0" w:line="240" w:lineRule="auto"/>
              <w:jc w:val="left"/>
              <w:rPr>
                <w:rFonts w:eastAsia="Times New Roman"/>
                <w:b/>
                <w:bCs/>
                <w:color w:val="000000"/>
                <w:sz w:val="18"/>
                <w:szCs w:val="18"/>
              </w:rPr>
            </w:pPr>
            <w:r w:rsidRPr="00EA5B7B">
              <w:rPr>
                <w:rFonts w:eastAsia="Times New Roman"/>
                <w:b/>
                <w:bCs/>
                <w:color w:val="000000"/>
                <w:sz w:val="18"/>
                <w:szCs w:val="18"/>
              </w:rPr>
              <w:t> </w:t>
            </w:r>
          </w:p>
        </w:tc>
        <w:tc>
          <w:tcPr>
            <w:tcW w:w="580" w:type="pct"/>
            <w:shd w:val="clear" w:color="auto" w:fill="auto"/>
            <w:noWrap/>
            <w:vAlign w:val="center"/>
            <w:hideMark/>
          </w:tcPr>
          <w:p w:rsidR="00304F05" w:rsidRPr="00EA5B7B" w:rsidRDefault="00304F05" w:rsidP="00304F05">
            <w:pPr>
              <w:spacing w:after="0" w:line="240" w:lineRule="auto"/>
              <w:jc w:val="left"/>
              <w:rPr>
                <w:rFonts w:eastAsia="Times New Roman"/>
                <w:b/>
                <w:bCs/>
                <w:color w:val="000000"/>
                <w:sz w:val="18"/>
                <w:szCs w:val="18"/>
              </w:rPr>
            </w:pPr>
            <w:r w:rsidRPr="00EA5B7B">
              <w:rPr>
                <w:rFonts w:eastAsia="Times New Roman"/>
                <w:b/>
                <w:bCs/>
                <w:color w:val="000000"/>
                <w:sz w:val="18"/>
                <w:szCs w:val="18"/>
              </w:rPr>
              <w:t> </w:t>
            </w:r>
          </w:p>
        </w:tc>
        <w:tc>
          <w:tcPr>
            <w:tcW w:w="1463" w:type="pct"/>
            <w:gridSpan w:val="2"/>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p>
        </w:tc>
        <w:tc>
          <w:tcPr>
            <w:tcW w:w="1463" w:type="pct"/>
            <w:gridSpan w:val="2"/>
            <w:shd w:val="clear" w:color="auto" w:fill="auto"/>
            <w:noWrap/>
            <w:vAlign w:val="center"/>
          </w:tcPr>
          <w:p w:rsidR="00304F05" w:rsidRPr="00EA5B7B" w:rsidRDefault="00304F05" w:rsidP="00304F05">
            <w:pPr>
              <w:spacing w:after="0" w:line="240" w:lineRule="auto"/>
              <w:jc w:val="right"/>
              <w:rPr>
                <w:rFonts w:eastAsia="Times New Roman"/>
                <w:color w:val="000000"/>
                <w:sz w:val="18"/>
                <w:szCs w:val="18"/>
              </w:rPr>
            </w:pPr>
          </w:p>
        </w:tc>
        <w:tc>
          <w:tcPr>
            <w:tcW w:w="696" w:type="pct"/>
            <w:shd w:val="clear" w:color="auto" w:fill="auto"/>
            <w:noWrap/>
            <w:vAlign w:val="center"/>
          </w:tcPr>
          <w:p w:rsidR="00304F05" w:rsidRPr="0095269D" w:rsidRDefault="00304F05" w:rsidP="00304F05">
            <w:pPr>
              <w:spacing w:after="0" w:line="240" w:lineRule="auto"/>
              <w:jc w:val="right"/>
              <w:rPr>
                <w:rFonts w:eastAsia="Times New Roman"/>
                <w:color w:val="000000"/>
                <w:sz w:val="18"/>
                <w:szCs w:val="18"/>
              </w:rPr>
            </w:pPr>
          </w:p>
        </w:tc>
      </w:tr>
      <w:tr w:rsidR="00C36606" w:rsidRPr="00EA5B7B" w:rsidTr="004E3BB8">
        <w:trPr>
          <w:trHeight w:val="356"/>
        </w:trPr>
        <w:tc>
          <w:tcPr>
            <w:tcW w:w="798" w:type="pct"/>
            <w:shd w:val="clear" w:color="auto" w:fill="F2F2F2" w:themeFill="background1" w:themeFillShade="F2"/>
            <w:noWrap/>
            <w:vAlign w:val="center"/>
            <w:hideMark/>
          </w:tcPr>
          <w:p w:rsidR="00304F05" w:rsidRPr="00EA5B7B" w:rsidRDefault="00304F05" w:rsidP="00304F05">
            <w:pPr>
              <w:spacing w:after="0" w:line="240" w:lineRule="auto"/>
              <w:jc w:val="left"/>
              <w:rPr>
                <w:rFonts w:eastAsia="Times New Roman"/>
                <w:b/>
                <w:bCs/>
                <w:color w:val="000000"/>
                <w:sz w:val="18"/>
                <w:szCs w:val="18"/>
              </w:rPr>
            </w:pPr>
            <w:r w:rsidRPr="00EA5B7B">
              <w:rPr>
                <w:rFonts w:eastAsia="Times New Roman"/>
                <w:b/>
                <w:bCs/>
                <w:color w:val="000000"/>
                <w:sz w:val="18"/>
                <w:szCs w:val="18"/>
              </w:rPr>
              <w:t>C</w:t>
            </w:r>
            <w:r>
              <w:rPr>
                <w:rFonts w:eastAsia="Times New Roman"/>
                <w:b/>
                <w:bCs/>
                <w:color w:val="000000"/>
                <w:sz w:val="18"/>
                <w:szCs w:val="18"/>
              </w:rPr>
              <w:t>elkem</w:t>
            </w:r>
          </w:p>
        </w:tc>
        <w:tc>
          <w:tcPr>
            <w:tcW w:w="580" w:type="pct"/>
            <w:shd w:val="clear" w:color="auto" w:fill="F2F2F2" w:themeFill="background1" w:themeFillShade="F2"/>
            <w:noWrap/>
            <w:vAlign w:val="center"/>
            <w:hideMark/>
          </w:tcPr>
          <w:p w:rsidR="00304F05" w:rsidRPr="00EA5B7B" w:rsidRDefault="00304F05" w:rsidP="00304F05">
            <w:pPr>
              <w:spacing w:after="0" w:line="240" w:lineRule="auto"/>
              <w:jc w:val="left"/>
              <w:rPr>
                <w:rFonts w:eastAsia="Times New Roman"/>
                <w:b/>
                <w:bCs/>
                <w:color w:val="000000"/>
                <w:sz w:val="18"/>
                <w:szCs w:val="18"/>
              </w:rPr>
            </w:pPr>
            <w:r w:rsidRPr="00EA5B7B">
              <w:rPr>
                <w:rFonts w:eastAsia="Times New Roman"/>
                <w:b/>
                <w:bCs/>
                <w:color w:val="000000"/>
                <w:sz w:val="18"/>
                <w:szCs w:val="18"/>
              </w:rPr>
              <w:t> </w:t>
            </w:r>
          </w:p>
        </w:tc>
        <w:tc>
          <w:tcPr>
            <w:tcW w:w="1463" w:type="pct"/>
            <w:gridSpan w:val="2"/>
            <w:shd w:val="clear" w:color="auto" w:fill="F2F2F2" w:themeFill="background1" w:themeFillShade="F2"/>
            <w:noWrap/>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74 000 042 774,93</w:t>
            </w:r>
          </w:p>
        </w:tc>
        <w:tc>
          <w:tcPr>
            <w:tcW w:w="1463" w:type="pct"/>
            <w:gridSpan w:val="2"/>
            <w:shd w:val="clear" w:color="auto" w:fill="F2F2F2" w:themeFill="background1" w:themeFillShade="F2"/>
            <w:noWrap/>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14 052 613 195,78</w:t>
            </w:r>
          </w:p>
        </w:tc>
        <w:tc>
          <w:tcPr>
            <w:tcW w:w="696" w:type="pct"/>
            <w:shd w:val="clear" w:color="auto" w:fill="F2F2F2" w:themeFill="background1" w:themeFillShade="F2"/>
            <w:noWrap/>
            <w:vAlign w:val="center"/>
          </w:tcPr>
          <w:p w:rsidR="00304F05" w:rsidRPr="0095269D" w:rsidRDefault="00304F05" w:rsidP="00304F05">
            <w:pPr>
              <w:spacing w:after="0" w:line="240" w:lineRule="auto"/>
              <w:jc w:val="right"/>
              <w:rPr>
                <w:rFonts w:eastAsia="Times New Roman"/>
                <w:b/>
                <w:color w:val="000000"/>
                <w:sz w:val="18"/>
                <w:szCs w:val="18"/>
              </w:rPr>
            </w:pPr>
            <w:r>
              <w:rPr>
                <w:b/>
                <w:bCs/>
                <w:color w:val="000000"/>
                <w:sz w:val="18"/>
                <w:szCs w:val="18"/>
              </w:rPr>
              <w:t>18,99 %</w:t>
            </w:r>
          </w:p>
        </w:tc>
      </w:tr>
    </w:tbl>
    <w:p w:rsidR="00E47343" w:rsidRPr="00F05040" w:rsidRDefault="00CD46C1" w:rsidP="00F05040">
      <w:pPr>
        <w:pStyle w:val="TabulkaNOK-zdroj"/>
        <w:spacing w:before="0" w:after="0"/>
        <w:jc w:val="left"/>
      </w:pPr>
      <w:r w:rsidRPr="00F05040">
        <w:t>Zdroj: MF-PCO, stav ke dni </w:t>
      </w:r>
      <w:r w:rsidR="00526933" w:rsidRPr="00F05040">
        <w:t>3</w:t>
      </w:r>
      <w:r w:rsidR="00DE21AB">
        <w:t>0</w:t>
      </w:r>
      <w:r w:rsidRPr="00F05040">
        <w:t xml:space="preserve">. </w:t>
      </w:r>
      <w:r w:rsidR="00DE21AB">
        <w:t>dubna</w:t>
      </w:r>
      <w:r w:rsidR="00AC2442" w:rsidRPr="00F05040">
        <w:t xml:space="preserve"> 2018, tabulka neobsahuje údaje za PRV. PRV z důvodu odlišné administrace programu nestanovuje predikce souhrnných žádostí.</w:t>
      </w:r>
    </w:p>
    <w:p w:rsidR="00E47343" w:rsidRDefault="00E47343">
      <w:pPr>
        <w:spacing w:after="200" w:line="276" w:lineRule="auto"/>
        <w:jc w:val="left"/>
        <w:rPr>
          <w:iCs/>
          <w:sz w:val="16"/>
          <w:szCs w:val="16"/>
        </w:rPr>
      </w:pPr>
    </w:p>
    <w:p w:rsidR="00AC2442" w:rsidRDefault="00AC2442" w:rsidP="008A12AD">
      <w:pPr>
        <w:spacing w:before="60"/>
      </w:pPr>
    </w:p>
    <w:p w:rsidR="008B08B9" w:rsidRPr="00516F29" w:rsidRDefault="008B08B9" w:rsidP="00FF7FE9">
      <w:pPr>
        <w:pStyle w:val="TabulkaNOK-zdroj"/>
        <w:ind w:left="993" w:hanging="993"/>
      </w:pPr>
    </w:p>
    <w:sectPr w:rsidR="008B08B9" w:rsidRPr="00516F29" w:rsidSect="00F05040">
      <w:footerReference w:type="default" r:id="rId9"/>
      <w:footerReference w:type="first" r:id="rId10"/>
      <w:pgSz w:w="11906" w:h="16838"/>
      <w:pgMar w:top="1134" w:right="1077" w:bottom="1134" w:left="1077" w:header="709" w:footer="4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47" w:rsidRDefault="00590047" w:rsidP="001140BC">
      <w:r>
        <w:separator/>
      </w:r>
    </w:p>
  </w:endnote>
  <w:endnote w:type="continuationSeparator" w:id="0">
    <w:p w:rsidR="00590047" w:rsidRDefault="00590047" w:rsidP="0011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429736"/>
      <w:docPartObj>
        <w:docPartGallery w:val="Page Numbers (Bottom of Page)"/>
        <w:docPartUnique/>
      </w:docPartObj>
    </w:sdtPr>
    <w:sdtContent>
      <w:p w:rsidR="00421A99" w:rsidRPr="00B01AB4" w:rsidRDefault="0059739C" w:rsidP="00D9419E">
        <w:pPr>
          <w:pStyle w:val="Zpat"/>
          <w:jc w:val="center"/>
        </w:pPr>
        <w:r w:rsidRPr="00B01AB4">
          <w:fldChar w:fldCharType="begin"/>
        </w:r>
        <w:r w:rsidR="00421A99" w:rsidRPr="00B01AB4">
          <w:instrText>PAGE   \* MERGEFORMAT</w:instrText>
        </w:r>
        <w:r w:rsidRPr="00B01AB4">
          <w:fldChar w:fldCharType="separate"/>
        </w:r>
        <w:r w:rsidR="00A25393">
          <w:rPr>
            <w:noProof/>
          </w:rPr>
          <w:t>2</w:t>
        </w:r>
        <w:r w:rsidRPr="00B01AB4">
          <w:fldChar w:fldCharType="end"/>
        </w:r>
      </w:p>
    </w:sdtContent>
  </w:sdt>
  <w:p w:rsidR="00421A99" w:rsidRDefault="00421A99" w:rsidP="001140B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99" w:rsidRDefault="00421A99">
    <w:pPr>
      <w:pStyle w:val="Zpat"/>
    </w:pPr>
    <w:r>
      <w:rPr>
        <w:noProof/>
      </w:rPr>
      <w:drawing>
        <wp:inline distT="0" distB="0" distL="0" distR="0">
          <wp:extent cx="6648450" cy="495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8450" cy="4953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47" w:rsidRDefault="00590047" w:rsidP="001140BC">
      <w:r>
        <w:separator/>
      </w:r>
    </w:p>
  </w:footnote>
  <w:footnote w:type="continuationSeparator" w:id="0">
    <w:p w:rsidR="00590047" w:rsidRDefault="00590047" w:rsidP="001140BC">
      <w:r>
        <w:continuationSeparator/>
      </w:r>
    </w:p>
  </w:footnote>
  <w:footnote w:id="1">
    <w:p w:rsidR="00421A99" w:rsidRPr="00867F5E" w:rsidRDefault="00421A99" w:rsidP="006E5B6A">
      <w:pPr>
        <w:pStyle w:val="Textpoznpodarou"/>
      </w:pPr>
      <w:r w:rsidRPr="00867F5E">
        <w:rPr>
          <w:rStyle w:val="Znakapoznpodarou"/>
          <w:rFonts w:ascii="Arial" w:hAnsi="Arial" w:cs="Arial"/>
          <w:sz w:val="18"/>
          <w:szCs w:val="18"/>
        </w:rPr>
        <w:footnoteRef/>
      </w:r>
      <w:r>
        <w:tab/>
      </w:r>
      <w:r w:rsidRPr="00867F5E">
        <w:t xml:space="preserve">Pro </w:t>
      </w:r>
      <w:r w:rsidRPr="00473125">
        <w:t>přepočet</w:t>
      </w:r>
      <w:r w:rsidRPr="00867F5E">
        <w:t xml:space="preserve"> byl použit kurz </w:t>
      </w:r>
      <w:r>
        <w:t>(duben 2018) 25,462</w:t>
      </w:r>
      <w:r w:rsidRPr="00867F5E">
        <w:t xml:space="preserve"> Kč/EUR.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363"/>
    <w:multiLevelType w:val="hybridMultilevel"/>
    <w:tmpl w:val="2E6A1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3B6E7C"/>
    <w:multiLevelType w:val="hybridMultilevel"/>
    <w:tmpl w:val="D7F0BC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E7446E"/>
    <w:multiLevelType w:val="hybridMultilevel"/>
    <w:tmpl w:val="02584870"/>
    <w:lvl w:ilvl="0" w:tplc="45F2D4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E05A29"/>
    <w:multiLevelType w:val="hybridMultilevel"/>
    <w:tmpl w:val="373AFE3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
    <w:nsid w:val="31276DAF"/>
    <w:multiLevelType w:val="hybridMultilevel"/>
    <w:tmpl w:val="775C8DA6"/>
    <w:lvl w:ilvl="0" w:tplc="8F22783C">
      <w:start w:val="1"/>
      <w:numFmt w:val="bullet"/>
      <w:pStyle w:val="Stylproodstaveckvzv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A11A59"/>
    <w:multiLevelType w:val="multilevel"/>
    <w:tmpl w:val="824C1D36"/>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2257DC"/>
    <w:multiLevelType w:val="hybridMultilevel"/>
    <w:tmpl w:val="987C6F30"/>
    <w:lvl w:ilvl="0" w:tplc="254EAE56">
      <w:start w:val="1"/>
      <w:numFmt w:val="decimal"/>
      <w:lvlText w:val="%1."/>
      <w:lvlJc w:val="left"/>
      <w:pPr>
        <w:ind w:left="720" w:hanging="360"/>
      </w:pPr>
      <w:rPr>
        <w:rFonts w:hint="default"/>
      </w:rPr>
    </w:lvl>
    <w:lvl w:ilvl="1" w:tplc="986854F6">
      <w:start w:val="1"/>
      <w:numFmt w:val="decimal"/>
      <w:lvlText w:val="%2."/>
      <w:lvlJc w:val="left"/>
      <w:pPr>
        <w:ind w:left="1440" w:hanging="360"/>
      </w:pPr>
      <w:rPr>
        <w:rFonts w:asciiTheme="minorHAnsi" w:eastAsiaTheme="minorHAnsi" w:hAnsiTheme="minorHAnsi" w:cstheme="minorBid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0F2E78"/>
    <w:multiLevelType w:val="hybridMultilevel"/>
    <w:tmpl w:val="FC144F7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8C1586"/>
    <w:multiLevelType w:val="hybridMultilevel"/>
    <w:tmpl w:val="F9DC125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nsid w:val="46197445"/>
    <w:multiLevelType w:val="hybridMultilevel"/>
    <w:tmpl w:val="88048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320991"/>
    <w:multiLevelType w:val="hybridMultilevel"/>
    <w:tmpl w:val="76CA8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34529DD"/>
    <w:multiLevelType w:val="multilevel"/>
    <w:tmpl w:val="9710E98A"/>
    <w:lvl w:ilvl="0">
      <w:start w:val="1"/>
      <w:numFmt w:val="decimal"/>
      <w:lvlText w:val="%1."/>
      <w:lvlJc w:val="left"/>
      <w:pPr>
        <w:ind w:left="360" w:hanging="360"/>
      </w:pPr>
    </w:lvl>
    <w:lvl w:ilvl="1">
      <w:start w:val="1"/>
      <w:numFmt w:val="decimal"/>
      <w:lvlText w:val="%1.%2."/>
      <w:lvlJc w:val="left"/>
      <w:pPr>
        <w:ind w:left="-3890" w:hanging="432"/>
      </w:pPr>
    </w:lvl>
    <w:lvl w:ilvl="2">
      <w:start w:val="1"/>
      <w:numFmt w:val="decimal"/>
      <w:lvlText w:val="%1.%2.%3."/>
      <w:lvlJc w:val="left"/>
      <w:pPr>
        <w:ind w:left="-6501" w:hanging="504"/>
      </w:pPr>
    </w:lvl>
    <w:lvl w:ilvl="3">
      <w:start w:val="1"/>
      <w:numFmt w:val="decimal"/>
      <w:lvlText w:val="%1.%2.%3.%4."/>
      <w:lvlJc w:val="left"/>
      <w:pPr>
        <w:ind w:left="-5997" w:hanging="648"/>
      </w:pPr>
    </w:lvl>
    <w:lvl w:ilvl="4">
      <w:start w:val="1"/>
      <w:numFmt w:val="decimal"/>
      <w:lvlText w:val="%1.%2.%3.%4.%5."/>
      <w:lvlJc w:val="left"/>
      <w:pPr>
        <w:ind w:left="-5493" w:hanging="792"/>
      </w:pPr>
    </w:lvl>
    <w:lvl w:ilvl="5">
      <w:start w:val="1"/>
      <w:numFmt w:val="decimal"/>
      <w:lvlText w:val="%1.%2.%3.%4.%5.%6."/>
      <w:lvlJc w:val="left"/>
      <w:pPr>
        <w:ind w:left="-4989" w:hanging="936"/>
      </w:pPr>
    </w:lvl>
    <w:lvl w:ilvl="6">
      <w:start w:val="1"/>
      <w:numFmt w:val="decimal"/>
      <w:lvlText w:val="%1.%2.%3.%4.%5.%6.%7."/>
      <w:lvlJc w:val="left"/>
      <w:pPr>
        <w:ind w:left="-4485" w:hanging="1080"/>
      </w:pPr>
    </w:lvl>
    <w:lvl w:ilvl="7">
      <w:start w:val="1"/>
      <w:numFmt w:val="decimal"/>
      <w:lvlText w:val="%1.%2.%3.%4.%5.%6.%7.%8."/>
      <w:lvlJc w:val="left"/>
      <w:pPr>
        <w:ind w:left="-3981" w:hanging="1224"/>
      </w:pPr>
    </w:lvl>
    <w:lvl w:ilvl="8">
      <w:start w:val="1"/>
      <w:numFmt w:val="decimal"/>
      <w:lvlText w:val="%1.%2.%3.%4.%5.%6.%7.%8.%9."/>
      <w:lvlJc w:val="left"/>
      <w:pPr>
        <w:ind w:left="-3405" w:hanging="1440"/>
      </w:pPr>
    </w:lvl>
  </w:abstractNum>
  <w:abstractNum w:abstractNumId="12">
    <w:nsid w:val="65C57550"/>
    <w:multiLevelType w:val="hybridMultilevel"/>
    <w:tmpl w:val="6D3051AE"/>
    <w:lvl w:ilvl="0" w:tplc="59047274">
      <w:start w:val="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753500"/>
    <w:multiLevelType w:val="hybridMultilevel"/>
    <w:tmpl w:val="9D623B12"/>
    <w:lvl w:ilvl="0" w:tplc="990A7E38">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C985FC5"/>
    <w:multiLevelType w:val="hybridMultilevel"/>
    <w:tmpl w:val="A962C0EC"/>
    <w:lvl w:ilvl="0" w:tplc="04050003">
      <w:start w:val="1"/>
      <w:numFmt w:val="bullet"/>
      <w:lvlText w:val="o"/>
      <w:lvlJc w:val="left"/>
      <w:pPr>
        <w:ind w:left="1068" w:hanging="360"/>
      </w:pPr>
      <w:rPr>
        <w:rFonts w:ascii="Courier New" w:hAnsi="Courier New" w:cs="Courier New" w:hint="default"/>
        <w:color w:val="auto"/>
      </w:rPr>
    </w:lvl>
    <w:lvl w:ilvl="1" w:tplc="04050003">
      <w:start w:val="1"/>
      <w:numFmt w:val="bullet"/>
      <w:lvlText w:val="o"/>
      <w:lvlJc w:val="left"/>
      <w:pPr>
        <w:ind w:left="1069"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7B5F3043"/>
    <w:multiLevelType w:val="hybridMultilevel"/>
    <w:tmpl w:val="63C4F26C"/>
    <w:lvl w:ilvl="0" w:tplc="BB2E4942">
      <w:start w:val="1"/>
      <w:numFmt w:val="bullet"/>
      <w:lvlText w:val="•"/>
      <w:lvlJc w:val="left"/>
      <w:pPr>
        <w:tabs>
          <w:tab w:val="num" w:pos="720"/>
        </w:tabs>
        <w:ind w:left="720" w:hanging="360"/>
      </w:pPr>
      <w:rPr>
        <w:rFonts w:ascii="Arial" w:hAnsi="Arial" w:hint="default"/>
      </w:rPr>
    </w:lvl>
    <w:lvl w:ilvl="1" w:tplc="DC2E615C" w:tentative="1">
      <w:start w:val="1"/>
      <w:numFmt w:val="bullet"/>
      <w:lvlText w:val="•"/>
      <w:lvlJc w:val="left"/>
      <w:pPr>
        <w:tabs>
          <w:tab w:val="num" w:pos="1440"/>
        </w:tabs>
        <w:ind w:left="1440" w:hanging="360"/>
      </w:pPr>
      <w:rPr>
        <w:rFonts w:ascii="Arial" w:hAnsi="Arial" w:hint="default"/>
      </w:rPr>
    </w:lvl>
    <w:lvl w:ilvl="2" w:tplc="84C04C1C" w:tentative="1">
      <w:start w:val="1"/>
      <w:numFmt w:val="bullet"/>
      <w:lvlText w:val="•"/>
      <w:lvlJc w:val="left"/>
      <w:pPr>
        <w:tabs>
          <w:tab w:val="num" w:pos="2160"/>
        </w:tabs>
        <w:ind w:left="2160" w:hanging="360"/>
      </w:pPr>
      <w:rPr>
        <w:rFonts w:ascii="Arial" w:hAnsi="Arial" w:hint="default"/>
      </w:rPr>
    </w:lvl>
    <w:lvl w:ilvl="3" w:tplc="3ACC126A" w:tentative="1">
      <w:start w:val="1"/>
      <w:numFmt w:val="bullet"/>
      <w:lvlText w:val="•"/>
      <w:lvlJc w:val="left"/>
      <w:pPr>
        <w:tabs>
          <w:tab w:val="num" w:pos="2880"/>
        </w:tabs>
        <w:ind w:left="2880" w:hanging="360"/>
      </w:pPr>
      <w:rPr>
        <w:rFonts w:ascii="Arial" w:hAnsi="Arial" w:hint="default"/>
      </w:rPr>
    </w:lvl>
    <w:lvl w:ilvl="4" w:tplc="BF8ABC5A" w:tentative="1">
      <w:start w:val="1"/>
      <w:numFmt w:val="bullet"/>
      <w:lvlText w:val="•"/>
      <w:lvlJc w:val="left"/>
      <w:pPr>
        <w:tabs>
          <w:tab w:val="num" w:pos="3600"/>
        </w:tabs>
        <w:ind w:left="3600" w:hanging="360"/>
      </w:pPr>
      <w:rPr>
        <w:rFonts w:ascii="Arial" w:hAnsi="Arial" w:hint="default"/>
      </w:rPr>
    </w:lvl>
    <w:lvl w:ilvl="5" w:tplc="54883B38" w:tentative="1">
      <w:start w:val="1"/>
      <w:numFmt w:val="bullet"/>
      <w:lvlText w:val="•"/>
      <w:lvlJc w:val="left"/>
      <w:pPr>
        <w:tabs>
          <w:tab w:val="num" w:pos="4320"/>
        </w:tabs>
        <w:ind w:left="4320" w:hanging="360"/>
      </w:pPr>
      <w:rPr>
        <w:rFonts w:ascii="Arial" w:hAnsi="Arial" w:hint="default"/>
      </w:rPr>
    </w:lvl>
    <w:lvl w:ilvl="6" w:tplc="5C0EF9AA" w:tentative="1">
      <w:start w:val="1"/>
      <w:numFmt w:val="bullet"/>
      <w:lvlText w:val="•"/>
      <w:lvlJc w:val="left"/>
      <w:pPr>
        <w:tabs>
          <w:tab w:val="num" w:pos="5040"/>
        </w:tabs>
        <w:ind w:left="5040" w:hanging="360"/>
      </w:pPr>
      <w:rPr>
        <w:rFonts w:ascii="Arial" w:hAnsi="Arial" w:hint="default"/>
      </w:rPr>
    </w:lvl>
    <w:lvl w:ilvl="7" w:tplc="9A74C838" w:tentative="1">
      <w:start w:val="1"/>
      <w:numFmt w:val="bullet"/>
      <w:lvlText w:val="•"/>
      <w:lvlJc w:val="left"/>
      <w:pPr>
        <w:tabs>
          <w:tab w:val="num" w:pos="5760"/>
        </w:tabs>
        <w:ind w:left="5760" w:hanging="360"/>
      </w:pPr>
      <w:rPr>
        <w:rFonts w:ascii="Arial" w:hAnsi="Arial" w:hint="default"/>
      </w:rPr>
    </w:lvl>
    <w:lvl w:ilvl="8" w:tplc="A5345748" w:tentative="1">
      <w:start w:val="1"/>
      <w:numFmt w:val="bullet"/>
      <w:lvlText w:val="•"/>
      <w:lvlJc w:val="left"/>
      <w:pPr>
        <w:tabs>
          <w:tab w:val="num" w:pos="6480"/>
        </w:tabs>
        <w:ind w:left="6480" w:hanging="360"/>
      </w:pPr>
      <w:rPr>
        <w:rFonts w:ascii="Arial" w:hAnsi="Arial" w:hint="default"/>
      </w:rPr>
    </w:lvl>
  </w:abstractNum>
  <w:abstractNum w:abstractNumId="16">
    <w:nsid w:val="7EF37EF6"/>
    <w:multiLevelType w:val="hybridMultilevel"/>
    <w:tmpl w:val="DBF01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DB4DAA"/>
    <w:multiLevelType w:val="hybridMultilevel"/>
    <w:tmpl w:val="82127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7"/>
  </w:num>
  <w:num w:numId="11">
    <w:abstractNumId w:val="9"/>
  </w:num>
  <w:num w:numId="12">
    <w:abstractNumId w:val="6"/>
  </w:num>
  <w:num w:numId="13">
    <w:abstractNumId w:val="3"/>
  </w:num>
  <w:num w:numId="14">
    <w:abstractNumId w:val="5"/>
  </w:num>
  <w:num w:numId="15">
    <w:abstractNumId w:val="0"/>
  </w:num>
  <w:num w:numId="16">
    <w:abstractNumId w:val="5"/>
  </w:num>
  <w:num w:numId="17">
    <w:abstractNumId w:val="16"/>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8F4885"/>
    <w:rsid w:val="00000266"/>
    <w:rsid w:val="000033CE"/>
    <w:rsid w:val="00006216"/>
    <w:rsid w:val="00010B53"/>
    <w:rsid w:val="00013558"/>
    <w:rsid w:val="000151DE"/>
    <w:rsid w:val="00015AFA"/>
    <w:rsid w:val="00015DF3"/>
    <w:rsid w:val="00016B68"/>
    <w:rsid w:val="00017677"/>
    <w:rsid w:val="000203E9"/>
    <w:rsid w:val="00020DB2"/>
    <w:rsid w:val="0002231B"/>
    <w:rsid w:val="00023352"/>
    <w:rsid w:val="00023DED"/>
    <w:rsid w:val="00024D91"/>
    <w:rsid w:val="000256A1"/>
    <w:rsid w:val="00027141"/>
    <w:rsid w:val="000274D2"/>
    <w:rsid w:val="00030EB1"/>
    <w:rsid w:val="000319B6"/>
    <w:rsid w:val="00033AE6"/>
    <w:rsid w:val="000341DD"/>
    <w:rsid w:val="00035083"/>
    <w:rsid w:val="000354A1"/>
    <w:rsid w:val="00050EE1"/>
    <w:rsid w:val="0005155B"/>
    <w:rsid w:val="00051C47"/>
    <w:rsid w:val="0005354C"/>
    <w:rsid w:val="00053B62"/>
    <w:rsid w:val="000547C1"/>
    <w:rsid w:val="000554DF"/>
    <w:rsid w:val="00055AE3"/>
    <w:rsid w:val="00057FA9"/>
    <w:rsid w:val="000629AD"/>
    <w:rsid w:val="00062DC9"/>
    <w:rsid w:val="00063681"/>
    <w:rsid w:val="000652CD"/>
    <w:rsid w:val="0006645E"/>
    <w:rsid w:val="000701E9"/>
    <w:rsid w:val="00070C49"/>
    <w:rsid w:val="000729AA"/>
    <w:rsid w:val="00073A45"/>
    <w:rsid w:val="000745D2"/>
    <w:rsid w:val="00076986"/>
    <w:rsid w:val="00080A14"/>
    <w:rsid w:val="00080A95"/>
    <w:rsid w:val="00083B3F"/>
    <w:rsid w:val="000841B8"/>
    <w:rsid w:val="000858BA"/>
    <w:rsid w:val="00086320"/>
    <w:rsid w:val="00092F05"/>
    <w:rsid w:val="00094730"/>
    <w:rsid w:val="00094C3D"/>
    <w:rsid w:val="000951CF"/>
    <w:rsid w:val="00096118"/>
    <w:rsid w:val="000964EA"/>
    <w:rsid w:val="000A2086"/>
    <w:rsid w:val="000A2C2F"/>
    <w:rsid w:val="000A5570"/>
    <w:rsid w:val="000A569D"/>
    <w:rsid w:val="000A5BCA"/>
    <w:rsid w:val="000A7511"/>
    <w:rsid w:val="000B1411"/>
    <w:rsid w:val="000B2E92"/>
    <w:rsid w:val="000B51AD"/>
    <w:rsid w:val="000B53F2"/>
    <w:rsid w:val="000B63B7"/>
    <w:rsid w:val="000B6B8F"/>
    <w:rsid w:val="000B6E1F"/>
    <w:rsid w:val="000C0209"/>
    <w:rsid w:val="000C15A5"/>
    <w:rsid w:val="000C1C22"/>
    <w:rsid w:val="000C4479"/>
    <w:rsid w:val="000C4995"/>
    <w:rsid w:val="000C4E27"/>
    <w:rsid w:val="000C5C91"/>
    <w:rsid w:val="000C68FE"/>
    <w:rsid w:val="000C7D73"/>
    <w:rsid w:val="000D04D0"/>
    <w:rsid w:val="000D2622"/>
    <w:rsid w:val="000D3C49"/>
    <w:rsid w:val="000D54D8"/>
    <w:rsid w:val="000D5FFC"/>
    <w:rsid w:val="000E0241"/>
    <w:rsid w:val="000E0332"/>
    <w:rsid w:val="000E2713"/>
    <w:rsid w:val="000E3EA4"/>
    <w:rsid w:val="000E4DF2"/>
    <w:rsid w:val="000E5549"/>
    <w:rsid w:val="000E6DF0"/>
    <w:rsid w:val="000E718A"/>
    <w:rsid w:val="000E76A2"/>
    <w:rsid w:val="000F00BF"/>
    <w:rsid w:val="000F09A3"/>
    <w:rsid w:val="000F1395"/>
    <w:rsid w:val="00101E40"/>
    <w:rsid w:val="0010464A"/>
    <w:rsid w:val="001049BB"/>
    <w:rsid w:val="00106564"/>
    <w:rsid w:val="00110651"/>
    <w:rsid w:val="00110663"/>
    <w:rsid w:val="001117A4"/>
    <w:rsid w:val="00112F25"/>
    <w:rsid w:val="001140BC"/>
    <w:rsid w:val="00115E86"/>
    <w:rsid w:val="00122CD1"/>
    <w:rsid w:val="00122D17"/>
    <w:rsid w:val="00122DD9"/>
    <w:rsid w:val="001273B3"/>
    <w:rsid w:val="00127452"/>
    <w:rsid w:val="001312C2"/>
    <w:rsid w:val="00132AC1"/>
    <w:rsid w:val="00133077"/>
    <w:rsid w:val="00134EC4"/>
    <w:rsid w:val="00135D26"/>
    <w:rsid w:val="0013600F"/>
    <w:rsid w:val="00137AA8"/>
    <w:rsid w:val="00137FC1"/>
    <w:rsid w:val="001438C7"/>
    <w:rsid w:val="00144455"/>
    <w:rsid w:val="00145322"/>
    <w:rsid w:val="00147D4F"/>
    <w:rsid w:val="001500BF"/>
    <w:rsid w:val="001552EA"/>
    <w:rsid w:val="001566FF"/>
    <w:rsid w:val="0016054D"/>
    <w:rsid w:val="00161A2A"/>
    <w:rsid w:val="00162C07"/>
    <w:rsid w:val="00162C7C"/>
    <w:rsid w:val="001673A8"/>
    <w:rsid w:val="00170E41"/>
    <w:rsid w:val="00170F6D"/>
    <w:rsid w:val="0017153A"/>
    <w:rsid w:val="0017178A"/>
    <w:rsid w:val="001733FD"/>
    <w:rsid w:val="00175850"/>
    <w:rsid w:val="00175E49"/>
    <w:rsid w:val="00176194"/>
    <w:rsid w:val="00176900"/>
    <w:rsid w:val="00177455"/>
    <w:rsid w:val="00177E21"/>
    <w:rsid w:val="00180B00"/>
    <w:rsid w:val="0018116A"/>
    <w:rsid w:val="0018420B"/>
    <w:rsid w:val="00184854"/>
    <w:rsid w:val="00185036"/>
    <w:rsid w:val="00195172"/>
    <w:rsid w:val="001958B3"/>
    <w:rsid w:val="001A01D2"/>
    <w:rsid w:val="001A10FC"/>
    <w:rsid w:val="001A59FC"/>
    <w:rsid w:val="001A77B0"/>
    <w:rsid w:val="001B0D17"/>
    <w:rsid w:val="001B2241"/>
    <w:rsid w:val="001B2934"/>
    <w:rsid w:val="001B370F"/>
    <w:rsid w:val="001B4AB3"/>
    <w:rsid w:val="001B4FE1"/>
    <w:rsid w:val="001B5310"/>
    <w:rsid w:val="001B6799"/>
    <w:rsid w:val="001B7BA6"/>
    <w:rsid w:val="001C0BFC"/>
    <w:rsid w:val="001C1081"/>
    <w:rsid w:val="001C261B"/>
    <w:rsid w:val="001C378C"/>
    <w:rsid w:val="001C3DB1"/>
    <w:rsid w:val="001C4407"/>
    <w:rsid w:val="001C46F6"/>
    <w:rsid w:val="001C4C74"/>
    <w:rsid w:val="001D047A"/>
    <w:rsid w:val="001D470B"/>
    <w:rsid w:val="001D689E"/>
    <w:rsid w:val="001E2888"/>
    <w:rsid w:val="001E4365"/>
    <w:rsid w:val="001E43E9"/>
    <w:rsid w:val="001E50E0"/>
    <w:rsid w:val="001F1882"/>
    <w:rsid w:val="001F20EF"/>
    <w:rsid w:val="001F2270"/>
    <w:rsid w:val="001F2A11"/>
    <w:rsid w:val="001F3F8A"/>
    <w:rsid w:val="001F6E11"/>
    <w:rsid w:val="001F76B0"/>
    <w:rsid w:val="00200A76"/>
    <w:rsid w:val="00200AC3"/>
    <w:rsid w:val="00212F6F"/>
    <w:rsid w:val="00213CBD"/>
    <w:rsid w:val="0021582F"/>
    <w:rsid w:val="00215E49"/>
    <w:rsid w:val="00217C79"/>
    <w:rsid w:val="002228CA"/>
    <w:rsid w:val="00222AD6"/>
    <w:rsid w:val="0022315C"/>
    <w:rsid w:val="00223648"/>
    <w:rsid w:val="00225887"/>
    <w:rsid w:val="0022607E"/>
    <w:rsid w:val="00226546"/>
    <w:rsid w:val="002268CB"/>
    <w:rsid w:val="002325EC"/>
    <w:rsid w:val="002353F5"/>
    <w:rsid w:val="00235631"/>
    <w:rsid w:val="0023748F"/>
    <w:rsid w:val="00240019"/>
    <w:rsid w:val="00240C1E"/>
    <w:rsid w:val="002422E0"/>
    <w:rsid w:val="00243262"/>
    <w:rsid w:val="00244411"/>
    <w:rsid w:val="00245128"/>
    <w:rsid w:val="00245394"/>
    <w:rsid w:val="0024612D"/>
    <w:rsid w:val="00247231"/>
    <w:rsid w:val="00247697"/>
    <w:rsid w:val="00247F58"/>
    <w:rsid w:val="00250E75"/>
    <w:rsid w:val="00252C94"/>
    <w:rsid w:val="00252DC6"/>
    <w:rsid w:val="0025367A"/>
    <w:rsid w:val="00254BFC"/>
    <w:rsid w:val="0025702F"/>
    <w:rsid w:val="002607AB"/>
    <w:rsid w:val="00262EA4"/>
    <w:rsid w:val="00264014"/>
    <w:rsid w:val="0026673F"/>
    <w:rsid w:val="00266982"/>
    <w:rsid w:val="00266A82"/>
    <w:rsid w:val="00271A35"/>
    <w:rsid w:val="00272C98"/>
    <w:rsid w:val="00274593"/>
    <w:rsid w:val="002746E9"/>
    <w:rsid w:val="00276EAF"/>
    <w:rsid w:val="0027755F"/>
    <w:rsid w:val="0027762F"/>
    <w:rsid w:val="00283C4F"/>
    <w:rsid w:val="00284046"/>
    <w:rsid w:val="002849C2"/>
    <w:rsid w:val="00291E78"/>
    <w:rsid w:val="00291F91"/>
    <w:rsid w:val="0029409F"/>
    <w:rsid w:val="00296AD3"/>
    <w:rsid w:val="00297DA4"/>
    <w:rsid w:val="002A0B9B"/>
    <w:rsid w:val="002A0C3D"/>
    <w:rsid w:val="002A1C2D"/>
    <w:rsid w:val="002A1F04"/>
    <w:rsid w:val="002A29C4"/>
    <w:rsid w:val="002A550B"/>
    <w:rsid w:val="002A6A9F"/>
    <w:rsid w:val="002A7C6F"/>
    <w:rsid w:val="002B11DF"/>
    <w:rsid w:val="002B1A76"/>
    <w:rsid w:val="002B1E45"/>
    <w:rsid w:val="002B680D"/>
    <w:rsid w:val="002B6F70"/>
    <w:rsid w:val="002C1470"/>
    <w:rsid w:val="002C2787"/>
    <w:rsid w:val="002C378C"/>
    <w:rsid w:val="002C6C9A"/>
    <w:rsid w:val="002C7BD3"/>
    <w:rsid w:val="002D0C5B"/>
    <w:rsid w:val="002D23F3"/>
    <w:rsid w:val="002D32DF"/>
    <w:rsid w:val="002D4704"/>
    <w:rsid w:val="002D4F0F"/>
    <w:rsid w:val="002E2185"/>
    <w:rsid w:val="002E23E7"/>
    <w:rsid w:val="002E2C8D"/>
    <w:rsid w:val="002E3C56"/>
    <w:rsid w:val="002E445F"/>
    <w:rsid w:val="002F10A6"/>
    <w:rsid w:val="002F3BC6"/>
    <w:rsid w:val="002F5626"/>
    <w:rsid w:val="002F5AE1"/>
    <w:rsid w:val="002F6310"/>
    <w:rsid w:val="002F71ED"/>
    <w:rsid w:val="00301D87"/>
    <w:rsid w:val="0030357B"/>
    <w:rsid w:val="0030409A"/>
    <w:rsid w:val="00304F05"/>
    <w:rsid w:val="00305F20"/>
    <w:rsid w:val="00306D28"/>
    <w:rsid w:val="00307C6D"/>
    <w:rsid w:val="003104DA"/>
    <w:rsid w:val="003142AE"/>
    <w:rsid w:val="00316975"/>
    <w:rsid w:val="00320E5A"/>
    <w:rsid w:val="00320EE4"/>
    <w:rsid w:val="0032629D"/>
    <w:rsid w:val="00327ACB"/>
    <w:rsid w:val="00330C7B"/>
    <w:rsid w:val="003341A6"/>
    <w:rsid w:val="00334336"/>
    <w:rsid w:val="0033454A"/>
    <w:rsid w:val="00336800"/>
    <w:rsid w:val="00336DE5"/>
    <w:rsid w:val="0033769E"/>
    <w:rsid w:val="00340E9A"/>
    <w:rsid w:val="00341B4B"/>
    <w:rsid w:val="0034367E"/>
    <w:rsid w:val="0034422B"/>
    <w:rsid w:val="00344C69"/>
    <w:rsid w:val="00344EBE"/>
    <w:rsid w:val="00351F2B"/>
    <w:rsid w:val="003532CB"/>
    <w:rsid w:val="00354D87"/>
    <w:rsid w:val="00363D0A"/>
    <w:rsid w:val="003714E5"/>
    <w:rsid w:val="00372F67"/>
    <w:rsid w:val="00374233"/>
    <w:rsid w:val="00375772"/>
    <w:rsid w:val="00382106"/>
    <w:rsid w:val="00386199"/>
    <w:rsid w:val="00387464"/>
    <w:rsid w:val="003874E1"/>
    <w:rsid w:val="00394DC3"/>
    <w:rsid w:val="003956A9"/>
    <w:rsid w:val="00396FDD"/>
    <w:rsid w:val="003974DE"/>
    <w:rsid w:val="003A1FE1"/>
    <w:rsid w:val="003A3EC1"/>
    <w:rsid w:val="003A431A"/>
    <w:rsid w:val="003A54E7"/>
    <w:rsid w:val="003B3D37"/>
    <w:rsid w:val="003B506D"/>
    <w:rsid w:val="003C04B8"/>
    <w:rsid w:val="003C36B9"/>
    <w:rsid w:val="003C38B5"/>
    <w:rsid w:val="003C5907"/>
    <w:rsid w:val="003C6BAD"/>
    <w:rsid w:val="003C739B"/>
    <w:rsid w:val="003C7E19"/>
    <w:rsid w:val="003D01EB"/>
    <w:rsid w:val="003D0B58"/>
    <w:rsid w:val="003E16C6"/>
    <w:rsid w:val="003E2665"/>
    <w:rsid w:val="003E3408"/>
    <w:rsid w:val="003F3132"/>
    <w:rsid w:val="003F4484"/>
    <w:rsid w:val="003F63D1"/>
    <w:rsid w:val="003F6AF1"/>
    <w:rsid w:val="003F6FC9"/>
    <w:rsid w:val="003F7156"/>
    <w:rsid w:val="004001F7"/>
    <w:rsid w:val="0040089C"/>
    <w:rsid w:val="00401704"/>
    <w:rsid w:val="00401CD5"/>
    <w:rsid w:val="00402DD9"/>
    <w:rsid w:val="004038C6"/>
    <w:rsid w:val="004051B4"/>
    <w:rsid w:val="00406976"/>
    <w:rsid w:val="00410311"/>
    <w:rsid w:val="004120F0"/>
    <w:rsid w:val="004128A3"/>
    <w:rsid w:val="004134C0"/>
    <w:rsid w:val="00413800"/>
    <w:rsid w:val="0041521B"/>
    <w:rsid w:val="0041565C"/>
    <w:rsid w:val="004216C0"/>
    <w:rsid w:val="00421A99"/>
    <w:rsid w:val="0042248E"/>
    <w:rsid w:val="00422A27"/>
    <w:rsid w:val="004232B4"/>
    <w:rsid w:val="00425E34"/>
    <w:rsid w:val="00427A66"/>
    <w:rsid w:val="00430A92"/>
    <w:rsid w:val="00431944"/>
    <w:rsid w:val="0044092C"/>
    <w:rsid w:val="004420EF"/>
    <w:rsid w:val="00443E0C"/>
    <w:rsid w:val="00446307"/>
    <w:rsid w:val="00446364"/>
    <w:rsid w:val="00450681"/>
    <w:rsid w:val="00454504"/>
    <w:rsid w:val="004545CC"/>
    <w:rsid w:val="00454701"/>
    <w:rsid w:val="00455F01"/>
    <w:rsid w:val="004560CB"/>
    <w:rsid w:val="004602C5"/>
    <w:rsid w:val="00463D42"/>
    <w:rsid w:val="004648D2"/>
    <w:rsid w:val="004655C0"/>
    <w:rsid w:val="00465619"/>
    <w:rsid w:val="004656AE"/>
    <w:rsid w:val="00466D30"/>
    <w:rsid w:val="00467721"/>
    <w:rsid w:val="00467EEC"/>
    <w:rsid w:val="00471C98"/>
    <w:rsid w:val="00473125"/>
    <w:rsid w:val="004731D6"/>
    <w:rsid w:val="00474ACB"/>
    <w:rsid w:val="004763D7"/>
    <w:rsid w:val="004801B0"/>
    <w:rsid w:val="00481DB5"/>
    <w:rsid w:val="00482261"/>
    <w:rsid w:val="00482AA8"/>
    <w:rsid w:val="00483431"/>
    <w:rsid w:val="004854D1"/>
    <w:rsid w:val="004858CA"/>
    <w:rsid w:val="00485E5C"/>
    <w:rsid w:val="00487170"/>
    <w:rsid w:val="00487FF5"/>
    <w:rsid w:val="00490E45"/>
    <w:rsid w:val="004921D3"/>
    <w:rsid w:val="004926FB"/>
    <w:rsid w:val="00494F1A"/>
    <w:rsid w:val="004951CA"/>
    <w:rsid w:val="00495F70"/>
    <w:rsid w:val="00496052"/>
    <w:rsid w:val="004A04FC"/>
    <w:rsid w:val="004A17AE"/>
    <w:rsid w:val="004A4EA8"/>
    <w:rsid w:val="004A593B"/>
    <w:rsid w:val="004B01EF"/>
    <w:rsid w:val="004B23A8"/>
    <w:rsid w:val="004B2421"/>
    <w:rsid w:val="004B25B7"/>
    <w:rsid w:val="004B6666"/>
    <w:rsid w:val="004B6A2B"/>
    <w:rsid w:val="004B7965"/>
    <w:rsid w:val="004C108F"/>
    <w:rsid w:val="004C33E5"/>
    <w:rsid w:val="004C3A27"/>
    <w:rsid w:val="004C3F57"/>
    <w:rsid w:val="004C5679"/>
    <w:rsid w:val="004C783A"/>
    <w:rsid w:val="004D30A2"/>
    <w:rsid w:val="004D360D"/>
    <w:rsid w:val="004D5CED"/>
    <w:rsid w:val="004E05B5"/>
    <w:rsid w:val="004E08DA"/>
    <w:rsid w:val="004E1245"/>
    <w:rsid w:val="004E1547"/>
    <w:rsid w:val="004E1BE6"/>
    <w:rsid w:val="004E2456"/>
    <w:rsid w:val="004E3728"/>
    <w:rsid w:val="004E3BB8"/>
    <w:rsid w:val="004E3C47"/>
    <w:rsid w:val="004E6A5C"/>
    <w:rsid w:val="004E70E9"/>
    <w:rsid w:val="004F109B"/>
    <w:rsid w:val="004F1DC2"/>
    <w:rsid w:val="004F2DF5"/>
    <w:rsid w:val="004F4DB1"/>
    <w:rsid w:val="004F5AB8"/>
    <w:rsid w:val="004F68A8"/>
    <w:rsid w:val="0050054A"/>
    <w:rsid w:val="00502DB1"/>
    <w:rsid w:val="005051D6"/>
    <w:rsid w:val="00505BC5"/>
    <w:rsid w:val="005073D4"/>
    <w:rsid w:val="00514774"/>
    <w:rsid w:val="00515831"/>
    <w:rsid w:val="00516F29"/>
    <w:rsid w:val="00517D69"/>
    <w:rsid w:val="0052007A"/>
    <w:rsid w:val="00520612"/>
    <w:rsid w:val="00520B19"/>
    <w:rsid w:val="00521B19"/>
    <w:rsid w:val="005223ED"/>
    <w:rsid w:val="005244E3"/>
    <w:rsid w:val="0052621D"/>
    <w:rsid w:val="00526933"/>
    <w:rsid w:val="00526A11"/>
    <w:rsid w:val="00531E97"/>
    <w:rsid w:val="00532BFA"/>
    <w:rsid w:val="0053739C"/>
    <w:rsid w:val="00537FD8"/>
    <w:rsid w:val="005414DF"/>
    <w:rsid w:val="005428C9"/>
    <w:rsid w:val="00543BB4"/>
    <w:rsid w:val="005443AA"/>
    <w:rsid w:val="00545B61"/>
    <w:rsid w:val="00545CB8"/>
    <w:rsid w:val="005466A3"/>
    <w:rsid w:val="00547C1C"/>
    <w:rsid w:val="00550E9A"/>
    <w:rsid w:val="00551740"/>
    <w:rsid w:val="00553812"/>
    <w:rsid w:val="00553B9C"/>
    <w:rsid w:val="0055423D"/>
    <w:rsid w:val="0055509F"/>
    <w:rsid w:val="00557C40"/>
    <w:rsid w:val="00562E59"/>
    <w:rsid w:val="00562FD9"/>
    <w:rsid w:val="005639E1"/>
    <w:rsid w:val="00567AA3"/>
    <w:rsid w:val="00567D73"/>
    <w:rsid w:val="00571899"/>
    <w:rsid w:val="0058171D"/>
    <w:rsid w:val="005822F0"/>
    <w:rsid w:val="00584D53"/>
    <w:rsid w:val="00586A63"/>
    <w:rsid w:val="00586A71"/>
    <w:rsid w:val="00590047"/>
    <w:rsid w:val="005911D5"/>
    <w:rsid w:val="0059173E"/>
    <w:rsid w:val="005945F5"/>
    <w:rsid w:val="0059739C"/>
    <w:rsid w:val="005A04E3"/>
    <w:rsid w:val="005A3C37"/>
    <w:rsid w:val="005A51B9"/>
    <w:rsid w:val="005A7315"/>
    <w:rsid w:val="005B0674"/>
    <w:rsid w:val="005B0E61"/>
    <w:rsid w:val="005B15FB"/>
    <w:rsid w:val="005B2AF6"/>
    <w:rsid w:val="005B3677"/>
    <w:rsid w:val="005B4ACB"/>
    <w:rsid w:val="005C248A"/>
    <w:rsid w:val="005C353E"/>
    <w:rsid w:val="005D1C1F"/>
    <w:rsid w:val="005D5BE5"/>
    <w:rsid w:val="005D6AEE"/>
    <w:rsid w:val="005D7820"/>
    <w:rsid w:val="005E02D6"/>
    <w:rsid w:val="005E2797"/>
    <w:rsid w:val="005E4342"/>
    <w:rsid w:val="005E5DB4"/>
    <w:rsid w:val="005E5DD5"/>
    <w:rsid w:val="005E7FC5"/>
    <w:rsid w:val="005F0FBC"/>
    <w:rsid w:val="005F4399"/>
    <w:rsid w:val="005F479B"/>
    <w:rsid w:val="005F4E2B"/>
    <w:rsid w:val="005F5326"/>
    <w:rsid w:val="005F7491"/>
    <w:rsid w:val="00600B5F"/>
    <w:rsid w:val="00606453"/>
    <w:rsid w:val="00611287"/>
    <w:rsid w:val="00611627"/>
    <w:rsid w:val="00613192"/>
    <w:rsid w:val="006154F0"/>
    <w:rsid w:val="0062028B"/>
    <w:rsid w:val="00620503"/>
    <w:rsid w:val="006214A7"/>
    <w:rsid w:val="0062238F"/>
    <w:rsid w:val="0062376A"/>
    <w:rsid w:val="00624F87"/>
    <w:rsid w:val="006252D4"/>
    <w:rsid w:val="006254AE"/>
    <w:rsid w:val="00626A1C"/>
    <w:rsid w:val="00630C91"/>
    <w:rsid w:val="00630D83"/>
    <w:rsid w:val="006313B7"/>
    <w:rsid w:val="00632E2C"/>
    <w:rsid w:val="00634A06"/>
    <w:rsid w:val="006355E4"/>
    <w:rsid w:val="0063561F"/>
    <w:rsid w:val="00637921"/>
    <w:rsid w:val="00641619"/>
    <w:rsid w:val="00641F5B"/>
    <w:rsid w:val="00643973"/>
    <w:rsid w:val="006474EB"/>
    <w:rsid w:val="00647827"/>
    <w:rsid w:val="00647AAB"/>
    <w:rsid w:val="006501C6"/>
    <w:rsid w:val="0065359F"/>
    <w:rsid w:val="006537E9"/>
    <w:rsid w:val="006540F0"/>
    <w:rsid w:val="00656CD9"/>
    <w:rsid w:val="00657D6B"/>
    <w:rsid w:val="00660E05"/>
    <w:rsid w:val="00661C6F"/>
    <w:rsid w:val="0066269E"/>
    <w:rsid w:val="0066436C"/>
    <w:rsid w:val="00665020"/>
    <w:rsid w:val="00667656"/>
    <w:rsid w:val="00671C64"/>
    <w:rsid w:val="00675E1A"/>
    <w:rsid w:val="006764B1"/>
    <w:rsid w:val="006770AE"/>
    <w:rsid w:val="0068150D"/>
    <w:rsid w:val="0068213B"/>
    <w:rsid w:val="00682EB0"/>
    <w:rsid w:val="00685273"/>
    <w:rsid w:val="00687197"/>
    <w:rsid w:val="006873AA"/>
    <w:rsid w:val="00690FC0"/>
    <w:rsid w:val="00691025"/>
    <w:rsid w:val="006914DA"/>
    <w:rsid w:val="0069284A"/>
    <w:rsid w:val="00693E83"/>
    <w:rsid w:val="006953C0"/>
    <w:rsid w:val="006A0D7A"/>
    <w:rsid w:val="006A1C07"/>
    <w:rsid w:val="006A5E91"/>
    <w:rsid w:val="006A68E0"/>
    <w:rsid w:val="006A6C07"/>
    <w:rsid w:val="006B0BFD"/>
    <w:rsid w:val="006B116E"/>
    <w:rsid w:val="006B1313"/>
    <w:rsid w:val="006B163B"/>
    <w:rsid w:val="006B670A"/>
    <w:rsid w:val="006B6F99"/>
    <w:rsid w:val="006C0963"/>
    <w:rsid w:val="006C19CF"/>
    <w:rsid w:val="006C200C"/>
    <w:rsid w:val="006C3365"/>
    <w:rsid w:val="006C3562"/>
    <w:rsid w:val="006C6094"/>
    <w:rsid w:val="006C7F36"/>
    <w:rsid w:val="006D016E"/>
    <w:rsid w:val="006D3997"/>
    <w:rsid w:val="006D5DDF"/>
    <w:rsid w:val="006E03C9"/>
    <w:rsid w:val="006E0B0B"/>
    <w:rsid w:val="006E2253"/>
    <w:rsid w:val="006E2953"/>
    <w:rsid w:val="006E55D0"/>
    <w:rsid w:val="006E5B6A"/>
    <w:rsid w:val="006E6A5B"/>
    <w:rsid w:val="006E6C81"/>
    <w:rsid w:val="006E7B48"/>
    <w:rsid w:val="006F0E01"/>
    <w:rsid w:val="006F18A2"/>
    <w:rsid w:val="006F2AB0"/>
    <w:rsid w:val="006F2EAC"/>
    <w:rsid w:val="006F4721"/>
    <w:rsid w:val="006F65EB"/>
    <w:rsid w:val="006F7A2C"/>
    <w:rsid w:val="00700C01"/>
    <w:rsid w:val="00702229"/>
    <w:rsid w:val="00704B31"/>
    <w:rsid w:val="00707218"/>
    <w:rsid w:val="00707E54"/>
    <w:rsid w:val="00707FE5"/>
    <w:rsid w:val="0071006F"/>
    <w:rsid w:val="007109B5"/>
    <w:rsid w:val="00714CD0"/>
    <w:rsid w:val="00714F41"/>
    <w:rsid w:val="00715C67"/>
    <w:rsid w:val="00717ABC"/>
    <w:rsid w:val="00721255"/>
    <w:rsid w:val="00724000"/>
    <w:rsid w:val="007243EC"/>
    <w:rsid w:val="00727E48"/>
    <w:rsid w:val="00727F8A"/>
    <w:rsid w:val="00731245"/>
    <w:rsid w:val="007317F2"/>
    <w:rsid w:val="00732876"/>
    <w:rsid w:val="007329ED"/>
    <w:rsid w:val="007366A0"/>
    <w:rsid w:val="007374ED"/>
    <w:rsid w:val="00737F43"/>
    <w:rsid w:val="00742BFA"/>
    <w:rsid w:val="00743DAF"/>
    <w:rsid w:val="00743DB7"/>
    <w:rsid w:val="0074647D"/>
    <w:rsid w:val="007475B1"/>
    <w:rsid w:val="0074784F"/>
    <w:rsid w:val="007500B7"/>
    <w:rsid w:val="0075125D"/>
    <w:rsid w:val="007517AC"/>
    <w:rsid w:val="00754CA3"/>
    <w:rsid w:val="007625F8"/>
    <w:rsid w:val="007627C5"/>
    <w:rsid w:val="00763350"/>
    <w:rsid w:val="0076405A"/>
    <w:rsid w:val="0076772D"/>
    <w:rsid w:val="00767C79"/>
    <w:rsid w:val="00771288"/>
    <w:rsid w:val="007724E3"/>
    <w:rsid w:val="00775CC5"/>
    <w:rsid w:val="00776423"/>
    <w:rsid w:val="00776570"/>
    <w:rsid w:val="00776EBF"/>
    <w:rsid w:val="00780A83"/>
    <w:rsid w:val="00781BD2"/>
    <w:rsid w:val="0078486C"/>
    <w:rsid w:val="00790CF8"/>
    <w:rsid w:val="00795067"/>
    <w:rsid w:val="00795E1B"/>
    <w:rsid w:val="00797466"/>
    <w:rsid w:val="007A3D6C"/>
    <w:rsid w:val="007A4639"/>
    <w:rsid w:val="007B0D79"/>
    <w:rsid w:val="007B32F0"/>
    <w:rsid w:val="007B3C4E"/>
    <w:rsid w:val="007C0039"/>
    <w:rsid w:val="007C36C0"/>
    <w:rsid w:val="007C42E3"/>
    <w:rsid w:val="007C6D4D"/>
    <w:rsid w:val="007C6FAB"/>
    <w:rsid w:val="007C796B"/>
    <w:rsid w:val="007D02EE"/>
    <w:rsid w:val="007D0492"/>
    <w:rsid w:val="007D1D59"/>
    <w:rsid w:val="007D295E"/>
    <w:rsid w:val="007D474A"/>
    <w:rsid w:val="007D482B"/>
    <w:rsid w:val="007D6B57"/>
    <w:rsid w:val="007E083C"/>
    <w:rsid w:val="007E3121"/>
    <w:rsid w:val="007E3B21"/>
    <w:rsid w:val="007E4EA1"/>
    <w:rsid w:val="007E580D"/>
    <w:rsid w:val="007F0D2E"/>
    <w:rsid w:val="007F1636"/>
    <w:rsid w:val="007F2F9B"/>
    <w:rsid w:val="007F53C9"/>
    <w:rsid w:val="007F60FA"/>
    <w:rsid w:val="0080503D"/>
    <w:rsid w:val="00805922"/>
    <w:rsid w:val="00805A6F"/>
    <w:rsid w:val="00805FE1"/>
    <w:rsid w:val="00811F4D"/>
    <w:rsid w:val="00812E51"/>
    <w:rsid w:val="00814B23"/>
    <w:rsid w:val="0081725E"/>
    <w:rsid w:val="008220BA"/>
    <w:rsid w:val="00822478"/>
    <w:rsid w:val="0082306B"/>
    <w:rsid w:val="00823E75"/>
    <w:rsid w:val="00824D2F"/>
    <w:rsid w:val="00832698"/>
    <w:rsid w:val="00833531"/>
    <w:rsid w:val="00835A23"/>
    <w:rsid w:val="00836011"/>
    <w:rsid w:val="00836D25"/>
    <w:rsid w:val="00842889"/>
    <w:rsid w:val="00842CCD"/>
    <w:rsid w:val="00843CF6"/>
    <w:rsid w:val="008454C1"/>
    <w:rsid w:val="0085335F"/>
    <w:rsid w:val="00853AD8"/>
    <w:rsid w:val="00854000"/>
    <w:rsid w:val="00856AF2"/>
    <w:rsid w:val="008573C7"/>
    <w:rsid w:val="008578A2"/>
    <w:rsid w:val="00861E48"/>
    <w:rsid w:val="0086269E"/>
    <w:rsid w:val="00862F38"/>
    <w:rsid w:val="00863650"/>
    <w:rsid w:val="008637E8"/>
    <w:rsid w:val="00863819"/>
    <w:rsid w:val="008649E0"/>
    <w:rsid w:val="00870815"/>
    <w:rsid w:val="00870A28"/>
    <w:rsid w:val="00872A25"/>
    <w:rsid w:val="00872FDE"/>
    <w:rsid w:val="00874335"/>
    <w:rsid w:val="0087441F"/>
    <w:rsid w:val="0088020C"/>
    <w:rsid w:val="008809B5"/>
    <w:rsid w:val="00881664"/>
    <w:rsid w:val="00882C49"/>
    <w:rsid w:val="00882EB2"/>
    <w:rsid w:val="008832FA"/>
    <w:rsid w:val="00884DAF"/>
    <w:rsid w:val="00887AC6"/>
    <w:rsid w:val="00894C13"/>
    <w:rsid w:val="00896694"/>
    <w:rsid w:val="00897EFB"/>
    <w:rsid w:val="008A12AD"/>
    <w:rsid w:val="008A34AB"/>
    <w:rsid w:val="008A4D2F"/>
    <w:rsid w:val="008A54A7"/>
    <w:rsid w:val="008A5BCF"/>
    <w:rsid w:val="008A700C"/>
    <w:rsid w:val="008B0443"/>
    <w:rsid w:val="008B08B9"/>
    <w:rsid w:val="008B0EC3"/>
    <w:rsid w:val="008B11D7"/>
    <w:rsid w:val="008B15DD"/>
    <w:rsid w:val="008B2F26"/>
    <w:rsid w:val="008C2460"/>
    <w:rsid w:val="008C48F6"/>
    <w:rsid w:val="008C4A53"/>
    <w:rsid w:val="008C50E1"/>
    <w:rsid w:val="008C5472"/>
    <w:rsid w:val="008C55BA"/>
    <w:rsid w:val="008C626F"/>
    <w:rsid w:val="008D017A"/>
    <w:rsid w:val="008D6DB3"/>
    <w:rsid w:val="008E04E0"/>
    <w:rsid w:val="008E3A3C"/>
    <w:rsid w:val="008E3A8D"/>
    <w:rsid w:val="008E6A95"/>
    <w:rsid w:val="008F22E2"/>
    <w:rsid w:val="008F398B"/>
    <w:rsid w:val="008F3DE9"/>
    <w:rsid w:val="008F434A"/>
    <w:rsid w:val="008F4885"/>
    <w:rsid w:val="00900FFF"/>
    <w:rsid w:val="00901919"/>
    <w:rsid w:val="009040AC"/>
    <w:rsid w:val="00906FFB"/>
    <w:rsid w:val="009070EE"/>
    <w:rsid w:val="0091205C"/>
    <w:rsid w:val="00912644"/>
    <w:rsid w:val="009147C2"/>
    <w:rsid w:val="00914A16"/>
    <w:rsid w:val="00915133"/>
    <w:rsid w:val="00915877"/>
    <w:rsid w:val="009166DF"/>
    <w:rsid w:val="00921779"/>
    <w:rsid w:val="00921E1A"/>
    <w:rsid w:val="00924524"/>
    <w:rsid w:val="00925E93"/>
    <w:rsid w:val="00926749"/>
    <w:rsid w:val="00927F1F"/>
    <w:rsid w:val="00934016"/>
    <w:rsid w:val="00934C9F"/>
    <w:rsid w:val="00935578"/>
    <w:rsid w:val="00935AD5"/>
    <w:rsid w:val="0093688C"/>
    <w:rsid w:val="00941D3D"/>
    <w:rsid w:val="00943D78"/>
    <w:rsid w:val="0094513C"/>
    <w:rsid w:val="009452FB"/>
    <w:rsid w:val="00946CE9"/>
    <w:rsid w:val="00946DD8"/>
    <w:rsid w:val="00950F6F"/>
    <w:rsid w:val="0095269D"/>
    <w:rsid w:val="00956174"/>
    <w:rsid w:val="00957770"/>
    <w:rsid w:val="0096082A"/>
    <w:rsid w:val="009608E6"/>
    <w:rsid w:val="00960AE4"/>
    <w:rsid w:val="00960C7F"/>
    <w:rsid w:val="00962213"/>
    <w:rsid w:val="00963343"/>
    <w:rsid w:val="0096476A"/>
    <w:rsid w:val="00964E6E"/>
    <w:rsid w:val="00964F52"/>
    <w:rsid w:val="009711AC"/>
    <w:rsid w:val="00972256"/>
    <w:rsid w:val="00973B8F"/>
    <w:rsid w:val="00975D5E"/>
    <w:rsid w:val="00976061"/>
    <w:rsid w:val="0097695F"/>
    <w:rsid w:val="00976A02"/>
    <w:rsid w:val="00977616"/>
    <w:rsid w:val="00981C5C"/>
    <w:rsid w:val="00982D66"/>
    <w:rsid w:val="0098387C"/>
    <w:rsid w:val="009839C4"/>
    <w:rsid w:val="009847D1"/>
    <w:rsid w:val="00986C36"/>
    <w:rsid w:val="009872F1"/>
    <w:rsid w:val="009922D8"/>
    <w:rsid w:val="0099367C"/>
    <w:rsid w:val="0099376E"/>
    <w:rsid w:val="00993D54"/>
    <w:rsid w:val="00995BB1"/>
    <w:rsid w:val="00995E82"/>
    <w:rsid w:val="009A0EAE"/>
    <w:rsid w:val="009A0FDB"/>
    <w:rsid w:val="009A1BF0"/>
    <w:rsid w:val="009A3EDC"/>
    <w:rsid w:val="009A428E"/>
    <w:rsid w:val="009A52ED"/>
    <w:rsid w:val="009A5629"/>
    <w:rsid w:val="009B04C7"/>
    <w:rsid w:val="009B44B9"/>
    <w:rsid w:val="009B4AE5"/>
    <w:rsid w:val="009C221F"/>
    <w:rsid w:val="009C285F"/>
    <w:rsid w:val="009C3F47"/>
    <w:rsid w:val="009D0031"/>
    <w:rsid w:val="009D2F74"/>
    <w:rsid w:val="009D357A"/>
    <w:rsid w:val="009D5426"/>
    <w:rsid w:val="009D5634"/>
    <w:rsid w:val="009D646D"/>
    <w:rsid w:val="009D6D95"/>
    <w:rsid w:val="009D73EE"/>
    <w:rsid w:val="009E062D"/>
    <w:rsid w:val="009E13B2"/>
    <w:rsid w:val="009E2A26"/>
    <w:rsid w:val="009E4973"/>
    <w:rsid w:val="009E4D9D"/>
    <w:rsid w:val="009E611C"/>
    <w:rsid w:val="009E6B8F"/>
    <w:rsid w:val="009F0E59"/>
    <w:rsid w:val="009F18B1"/>
    <w:rsid w:val="009F2B2A"/>
    <w:rsid w:val="009F62B1"/>
    <w:rsid w:val="009F6472"/>
    <w:rsid w:val="00A03A9C"/>
    <w:rsid w:val="00A10023"/>
    <w:rsid w:val="00A20EE5"/>
    <w:rsid w:val="00A22B0D"/>
    <w:rsid w:val="00A24383"/>
    <w:rsid w:val="00A24397"/>
    <w:rsid w:val="00A25393"/>
    <w:rsid w:val="00A25BC7"/>
    <w:rsid w:val="00A266C4"/>
    <w:rsid w:val="00A27178"/>
    <w:rsid w:val="00A31F28"/>
    <w:rsid w:val="00A32B38"/>
    <w:rsid w:val="00A379A1"/>
    <w:rsid w:val="00A402D3"/>
    <w:rsid w:val="00A407B1"/>
    <w:rsid w:val="00A41F10"/>
    <w:rsid w:val="00A4292D"/>
    <w:rsid w:val="00A42DDE"/>
    <w:rsid w:val="00A43094"/>
    <w:rsid w:val="00A46079"/>
    <w:rsid w:val="00A504D6"/>
    <w:rsid w:val="00A50733"/>
    <w:rsid w:val="00A51C95"/>
    <w:rsid w:val="00A51D70"/>
    <w:rsid w:val="00A54820"/>
    <w:rsid w:val="00A550AC"/>
    <w:rsid w:val="00A562A8"/>
    <w:rsid w:val="00A56858"/>
    <w:rsid w:val="00A609FD"/>
    <w:rsid w:val="00A60DA9"/>
    <w:rsid w:val="00A63728"/>
    <w:rsid w:val="00A648B8"/>
    <w:rsid w:val="00A64C18"/>
    <w:rsid w:val="00A76F62"/>
    <w:rsid w:val="00A806AC"/>
    <w:rsid w:val="00A809C7"/>
    <w:rsid w:val="00A80FF0"/>
    <w:rsid w:val="00A84141"/>
    <w:rsid w:val="00A84740"/>
    <w:rsid w:val="00A84B2E"/>
    <w:rsid w:val="00A8603E"/>
    <w:rsid w:val="00A911E2"/>
    <w:rsid w:val="00A94407"/>
    <w:rsid w:val="00A94686"/>
    <w:rsid w:val="00A95507"/>
    <w:rsid w:val="00A9636B"/>
    <w:rsid w:val="00A9674E"/>
    <w:rsid w:val="00A96C6D"/>
    <w:rsid w:val="00AA1236"/>
    <w:rsid w:val="00AA1D45"/>
    <w:rsid w:val="00AA30E9"/>
    <w:rsid w:val="00AA37AE"/>
    <w:rsid w:val="00AA4146"/>
    <w:rsid w:val="00AA6CCC"/>
    <w:rsid w:val="00AA7827"/>
    <w:rsid w:val="00AB216E"/>
    <w:rsid w:val="00AB4405"/>
    <w:rsid w:val="00AB683B"/>
    <w:rsid w:val="00AB7626"/>
    <w:rsid w:val="00AB7767"/>
    <w:rsid w:val="00AC0AC6"/>
    <w:rsid w:val="00AC0F44"/>
    <w:rsid w:val="00AC2442"/>
    <w:rsid w:val="00AC2A04"/>
    <w:rsid w:val="00AC50E0"/>
    <w:rsid w:val="00AC5A7F"/>
    <w:rsid w:val="00AC638B"/>
    <w:rsid w:val="00AC7646"/>
    <w:rsid w:val="00AD28F1"/>
    <w:rsid w:val="00AD2BAC"/>
    <w:rsid w:val="00AD560D"/>
    <w:rsid w:val="00AD62EE"/>
    <w:rsid w:val="00AD6DEF"/>
    <w:rsid w:val="00AD7A76"/>
    <w:rsid w:val="00AE022B"/>
    <w:rsid w:val="00AE1CDA"/>
    <w:rsid w:val="00AE239F"/>
    <w:rsid w:val="00AE29BD"/>
    <w:rsid w:val="00AE3489"/>
    <w:rsid w:val="00AE58EA"/>
    <w:rsid w:val="00AE6C95"/>
    <w:rsid w:val="00AE74B9"/>
    <w:rsid w:val="00AF12AD"/>
    <w:rsid w:val="00AF26DE"/>
    <w:rsid w:val="00AF284C"/>
    <w:rsid w:val="00AF346C"/>
    <w:rsid w:val="00AF55AA"/>
    <w:rsid w:val="00AF5AB5"/>
    <w:rsid w:val="00AF61F8"/>
    <w:rsid w:val="00AF691D"/>
    <w:rsid w:val="00B00C8A"/>
    <w:rsid w:val="00B00DC6"/>
    <w:rsid w:val="00B014BE"/>
    <w:rsid w:val="00B01623"/>
    <w:rsid w:val="00B01AB4"/>
    <w:rsid w:val="00B03022"/>
    <w:rsid w:val="00B05846"/>
    <w:rsid w:val="00B0589D"/>
    <w:rsid w:val="00B05A02"/>
    <w:rsid w:val="00B079A4"/>
    <w:rsid w:val="00B079DD"/>
    <w:rsid w:val="00B1144E"/>
    <w:rsid w:val="00B129B5"/>
    <w:rsid w:val="00B1307A"/>
    <w:rsid w:val="00B13848"/>
    <w:rsid w:val="00B1695D"/>
    <w:rsid w:val="00B22ECF"/>
    <w:rsid w:val="00B263D6"/>
    <w:rsid w:val="00B36404"/>
    <w:rsid w:val="00B376E9"/>
    <w:rsid w:val="00B410C4"/>
    <w:rsid w:val="00B42987"/>
    <w:rsid w:val="00B42D66"/>
    <w:rsid w:val="00B44B7A"/>
    <w:rsid w:val="00B44E81"/>
    <w:rsid w:val="00B4718D"/>
    <w:rsid w:val="00B50378"/>
    <w:rsid w:val="00B5074B"/>
    <w:rsid w:val="00B5281E"/>
    <w:rsid w:val="00B52BB2"/>
    <w:rsid w:val="00B52F3C"/>
    <w:rsid w:val="00B615FB"/>
    <w:rsid w:val="00B61E4E"/>
    <w:rsid w:val="00B73C6D"/>
    <w:rsid w:val="00B765E5"/>
    <w:rsid w:val="00B77BB8"/>
    <w:rsid w:val="00B80291"/>
    <w:rsid w:val="00B806DA"/>
    <w:rsid w:val="00B81D00"/>
    <w:rsid w:val="00B8269A"/>
    <w:rsid w:val="00B86425"/>
    <w:rsid w:val="00B86A69"/>
    <w:rsid w:val="00B904CC"/>
    <w:rsid w:val="00B9192F"/>
    <w:rsid w:val="00B93172"/>
    <w:rsid w:val="00B941F1"/>
    <w:rsid w:val="00B96319"/>
    <w:rsid w:val="00B96325"/>
    <w:rsid w:val="00BA029C"/>
    <w:rsid w:val="00BA111A"/>
    <w:rsid w:val="00BA137C"/>
    <w:rsid w:val="00BA376B"/>
    <w:rsid w:val="00BA58B6"/>
    <w:rsid w:val="00BA63C2"/>
    <w:rsid w:val="00BB05A9"/>
    <w:rsid w:val="00BB546C"/>
    <w:rsid w:val="00BB5F35"/>
    <w:rsid w:val="00BB7E92"/>
    <w:rsid w:val="00BC231F"/>
    <w:rsid w:val="00BC2504"/>
    <w:rsid w:val="00BC495E"/>
    <w:rsid w:val="00BC4A80"/>
    <w:rsid w:val="00BC4F32"/>
    <w:rsid w:val="00BC6653"/>
    <w:rsid w:val="00BC6851"/>
    <w:rsid w:val="00BD2493"/>
    <w:rsid w:val="00BD27D2"/>
    <w:rsid w:val="00BD2E1C"/>
    <w:rsid w:val="00BD48F6"/>
    <w:rsid w:val="00BD680C"/>
    <w:rsid w:val="00BD7B41"/>
    <w:rsid w:val="00BE0DE7"/>
    <w:rsid w:val="00BE4967"/>
    <w:rsid w:val="00BE578B"/>
    <w:rsid w:val="00BE6861"/>
    <w:rsid w:val="00BE74AD"/>
    <w:rsid w:val="00BE7A7C"/>
    <w:rsid w:val="00BE7C46"/>
    <w:rsid w:val="00BF1AB1"/>
    <w:rsid w:val="00BF1ED6"/>
    <w:rsid w:val="00BF2A06"/>
    <w:rsid w:val="00BF410F"/>
    <w:rsid w:val="00BF63BB"/>
    <w:rsid w:val="00BF692A"/>
    <w:rsid w:val="00BF6FBC"/>
    <w:rsid w:val="00C001E9"/>
    <w:rsid w:val="00C01402"/>
    <w:rsid w:val="00C032B5"/>
    <w:rsid w:val="00C04884"/>
    <w:rsid w:val="00C06BCD"/>
    <w:rsid w:val="00C06C2F"/>
    <w:rsid w:val="00C13B31"/>
    <w:rsid w:val="00C1538E"/>
    <w:rsid w:val="00C174A7"/>
    <w:rsid w:val="00C17694"/>
    <w:rsid w:val="00C2098A"/>
    <w:rsid w:val="00C23D14"/>
    <w:rsid w:val="00C24A9E"/>
    <w:rsid w:val="00C24CDC"/>
    <w:rsid w:val="00C26E55"/>
    <w:rsid w:val="00C273F4"/>
    <w:rsid w:val="00C3230D"/>
    <w:rsid w:val="00C32820"/>
    <w:rsid w:val="00C3300D"/>
    <w:rsid w:val="00C34280"/>
    <w:rsid w:val="00C3461A"/>
    <w:rsid w:val="00C34FF3"/>
    <w:rsid w:val="00C352D6"/>
    <w:rsid w:val="00C36606"/>
    <w:rsid w:val="00C441DE"/>
    <w:rsid w:val="00C44342"/>
    <w:rsid w:val="00C44A94"/>
    <w:rsid w:val="00C45A19"/>
    <w:rsid w:val="00C46018"/>
    <w:rsid w:val="00C46E86"/>
    <w:rsid w:val="00C47414"/>
    <w:rsid w:val="00C47E87"/>
    <w:rsid w:val="00C5028D"/>
    <w:rsid w:val="00C51352"/>
    <w:rsid w:val="00C5372D"/>
    <w:rsid w:val="00C53C53"/>
    <w:rsid w:val="00C53D73"/>
    <w:rsid w:val="00C54D1A"/>
    <w:rsid w:val="00C5698C"/>
    <w:rsid w:val="00C615DB"/>
    <w:rsid w:val="00C62D9F"/>
    <w:rsid w:val="00C632D8"/>
    <w:rsid w:val="00C6610F"/>
    <w:rsid w:val="00C7129B"/>
    <w:rsid w:val="00C74DE9"/>
    <w:rsid w:val="00C75E5B"/>
    <w:rsid w:val="00C768F9"/>
    <w:rsid w:val="00C77113"/>
    <w:rsid w:val="00C84407"/>
    <w:rsid w:val="00C849EA"/>
    <w:rsid w:val="00C9052F"/>
    <w:rsid w:val="00C91A23"/>
    <w:rsid w:val="00C91D86"/>
    <w:rsid w:val="00C92D3B"/>
    <w:rsid w:val="00C93C2E"/>
    <w:rsid w:val="00C943BF"/>
    <w:rsid w:val="00C94605"/>
    <w:rsid w:val="00C96CA4"/>
    <w:rsid w:val="00C97863"/>
    <w:rsid w:val="00C97A03"/>
    <w:rsid w:val="00CA03D9"/>
    <w:rsid w:val="00CA1087"/>
    <w:rsid w:val="00CA57FF"/>
    <w:rsid w:val="00CA714A"/>
    <w:rsid w:val="00CB2918"/>
    <w:rsid w:val="00CB2D18"/>
    <w:rsid w:val="00CB3188"/>
    <w:rsid w:val="00CB4A7D"/>
    <w:rsid w:val="00CB64C2"/>
    <w:rsid w:val="00CB73B9"/>
    <w:rsid w:val="00CC026B"/>
    <w:rsid w:val="00CD0C52"/>
    <w:rsid w:val="00CD1C4D"/>
    <w:rsid w:val="00CD1FBD"/>
    <w:rsid w:val="00CD4545"/>
    <w:rsid w:val="00CD46C1"/>
    <w:rsid w:val="00CD6AFF"/>
    <w:rsid w:val="00CD7FB0"/>
    <w:rsid w:val="00CE5459"/>
    <w:rsid w:val="00CF011D"/>
    <w:rsid w:val="00CF3AEE"/>
    <w:rsid w:val="00CF642E"/>
    <w:rsid w:val="00D00290"/>
    <w:rsid w:val="00D01850"/>
    <w:rsid w:val="00D027AD"/>
    <w:rsid w:val="00D0377D"/>
    <w:rsid w:val="00D03EB0"/>
    <w:rsid w:val="00D0762D"/>
    <w:rsid w:val="00D1180C"/>
    <w:rsid w:val="00D118B9"/>
    <w:rsid w:val="00D12C58"/>
    <w:rsid w:val="00D15578"/>
    <w:rsid w:val="00D15705"/>
    <w:rsid w:val="00D15C3E"/>
    <w:rsid w:val="00D15D80"/>
    <w:rsid w:val="00D20D9A"/>
    <w:rsid w:val="00D210E8"/>
    <w:rsid w:val="00D21942"/>
    <w:rsid w:val="00D2596F"/>
    <w:rsid w:val="00D25ACE"/>
    <w:rsid w:val="00D26787"/>
    <w:rsid w:val="00D267EB"/>
    <w:rsid w:val="00D274D4"/>
    <w:rsid w:val="00D30C20"/>
    <w:rsid w:val="00D30D7A"/>
    <w:rsid w:val="00D35111"/>
    <w:rsid w:val="00D358EC"/>
    <w:rsid w:val="00D40410"/>
    <w:rsid w:val="00D42783"/>
    <w:rsid w:val="00D44062"/>
    <w:rsid w:val="00D443D4"/>
    <w:rsid w:val="00D4497E"/>
    <w:rsid w:val="00D45C43"/>
    <w:rsid w:val="00D477BC"/>
    <w:rsid w:val="00D50403"/>
    <w:rsid w:val="00D508FD"/>
    <w:rsid w:val="00D50B4C"/>
    <w:rsid w:val="00D56740"/>
    <w:rsid w:val="00D5706E"/>
    <w:rsid w:val="00D5730A"/>
    <w:rsid w:val="00D5750E"/>
    <w:rsid w:val="00D610FA"/>
    <w:rsid w:val="00D64D04"/>
    <w:rsid w:val="00D67180"/>
    <w:rsid w:val="00D727CA"/>
    <w:rsid w:val="00D72F96"/>
    <w:rsid w:val="00D7407B"/>
    <w:rsid w:val="00D778E4"/>
    <w:rsid w:val="00D80C61"/>
    <w:rsid w:val="00D81834"/>
    <w:rsid w:val="00D837F0"/>
    <w:rsid w:val="00D86267"/>
    <w:rsid w:val="00D876EA"/>
    <w:rsid w:val="00D901B1"/>
    <w:rsid w:val="00D9095E"/>
    <w:rsid w:val="00D919BE"/>
    <w:rsid w:val="00D9350C"/>
    <w:rsid w:val="00D939D5"/>
    <w:rsid w:val="00D93B94"/>
    <w:rsid w:val="00D9419E"/>
    <w:rsid w:val="00D94289"/>
    <w:rsid w:val="00D959A7"/>
    <w:rsid w:val="00D96209"/>
    <w:rsid w:val="00D96C9E"/>
    <w:rsid w:val="00D9795B"/>
    <w:rsid w:val="00DA0920"/>
    <w:rsid w:val="00DA39E4"/>
    <w:rsid w:val="00DA3EC8"/>
    <w:rsid w:val="00DA5C0C"/>
    <w:rsid w:val="00DA6A83"/>
    <w:rsid w:val="00DA6D8A"/>
    <w:rsid w:val="00DB1B8B"/>
    <w:rsid w:val="00DB1EFC"/>
    <w:rsid w:val="00DB2EAB"/>
    <w:rsid w:val="00DB4D41"/>
    <w:rsid w:val="00DB5399"/>
    <w:rsid w:val="00DB71E9"/>
    <w:rsid w:val="00DC269B"/>
    <w:rsid w:val="00DC2828"/>
    <w:rsid w:val="00DC4F51"/>
    <w:rsid w:val="00DC7E66"/>
    <w:rsid w:val="00DD47D9"/>
    <w:rsid w:val="00DD4CBA"/>
    <w:rsid w:val="00DD593B"/>
    <w:rsid w:val="00DD61D2"/>
    <w:rsid w:val="00DD64DE"/>
    <w:rsid w:val="00DE21AB"/>
    <w:rsid w:val="00DE23E5"/>
    <w:rsid w:val="00DE3A41"/>
    <w:rsid w:val="00DE60AB"/>
    <w:rsid w:val="00DF055C"/>
    <w:rsid w:val="00DF0695"/>
    <w:rsid w:val="00DF3A6D"/>
    <w:rsid w:val="00DF4F5A"/>
    <w:rsid w:val="00DF7D3D"/>
    <w:rsid w:val="00E04CEE"/>
    <w:rsid w:val="00E114AA"/>
    <w:rsid w:val="00E12B3F"/>
    <w:rsid w:val="00E13DD5"/>
    <w:rsid w:val="00E14CBA"/>
    <w:rsid w:val="00E155D1"/>
    <w:rsid w:val="00E204EB"/>
    <w:rsid w:val="00E2087E"/>
    <w:rsid w:val="00E32567"/>
    <w:rsid w:val="00E35A6B"/>
    <w:rsid w:val="00E422F3"/>
    <w:rsid w:val="00E4248E"/>
    <w:rsid w:val="00E428F5"/>
    <w:rsid w:val="00E4296C"/>
    <w:rsid w:val="00E44960"/>
    <w:rsid w:val="00E44D63"/>
    <w:rsid w:val="00E4508E"/>
    <w:rsid w:val="00E47343"/>
    <w:rsid w:val="00E47BFF"/>
    <w:rsid w:val="00E502D1"/>
    <w:rsid w:val="00E51A7C"/>
    <w:rsid w:val="00E5460E"/>
    <w:rsid w:val="00E570C7"/>
    <w:rsid w:val="00E57172"/>
    <w:rsid w:val="00E61D9D"/>
    <w:rsid w:val="00E62D76"/>
    <w:rsid w:val="00E64252"/>
    <w:rsid w:val="00E64DD4"/>
    <w:rsid w:val="00E6537D"/>
    <w:rsid w:val="00E67891"/>
    <w:rsid w:val="00E709C2"/>
    <w:rsid w:val="00E7153B"/>
    <w:rsid w:val="00E72C6B"/>
    <w:rsid w:val="00E72D54"/>
    <w:rsid w:val="00E74A82"/>
    <w:rsid w:val="00E779FC"/>
    <w:rsid w:val="00E77CD3"/>
    <w:rsid w:val="00E819D7"/>
    <w:rsid w:val="00E8255E"/>
    <w:rsid w:val="00E82916"/>
    <w:rsid w:val="00E834AA"/>
    <w:rsid w:val="00E864F8"/>
    <w:rsid w:val="00E86E3E"/>
    <w:rsid w:val="00E92E04"/>
    <w:rsid w:val="00E92E4C"/>
    <w:rsid w:val="00E964BF"/>
    <w:rsid w:val="00E966F8"/>
    <w:rsid w:val="00EA1243"/>
    <w:rsid w:val="00EA2B9C"/>
    <w:rsid w:val="00EA753C"/>
    <w:rsid w:val="00EA75DB"/>
    <w:rsid w:val="00EB19D0"/>
    <w:rsid w:val="00EB24FF"/>
    <w:rsid w:val="00EB268A"/>
    <w:rsid w:val="00EB7AEF"/>
    <w:rsid w:val="00EC0B19"/>
    <w:rsid w:val="00EC180A"/>
    <w:rsid w:val="00EC39D0"/>
    <w:rsid w:val="00EC3F05"/>
    <w:rsid w:val="00EC4845"/>
    <w:rsid w:val="00EC561E"/>
    <w:rsid w:val="00EC56F0"/>
    <w:rsid w:val="00ED0D42"/>
    <w:rsid w:val="00ED1DFC"/>
    <w:rsid w:val="00ED2792"/>
    <w:rsid w:val="00ED606C"/>
    <w:rsid w:val="00ED67A7"/>
    <w:rsid w:val="00ED7B80"/>
    <w:rsid w:val="00EE0AFA"/>
    <w:rsid w:val="00EE0D6F"/>
    <w:rsid w:val="00EE6BA4"/>
    <w:rsid w:val="00EE6BA5"/>
    <w:rsid w:val="00EE7BFE"/>
    <w:rsid w:val="00EF03A0"/>
    <w:rsid w:val="00EF13F4"/>
    <w:rsid w:val="00EF1942"/>
    <w:rsid w:val="00EF2FB4"/>
    <w:rsid w:val="00EF30AB"/>
    <w:rsid w:val="00EF34B0"/>
    <w:rsid w:val="00EF4D13"/>
    <w:rsid w:val="00EF5BE3"/>
    <w:rsid w:val="00EF6B1F"/>
    <w:rsid w:val="00F007A7"/>
    <w:rsid w:val="00F017B5"/>
    <w:rsid w:val="00F02473"/>
    <w:rsid w:val="00F02C67"/>
    <w:rsid w:val="00F03ABE"/>
    <w:rsid w:val="00F05040"/>
    <w:rsid w:val="00F050E5"/>
    <w:rsid w:val="00F068B5"/>
    <w:rsid w:val="00F0705A"/>
    <w:rsid w:val="00F101EB"/>
    <w:rsid w:val="00F10873"/>
    <w:rsid w:val="00F11BB5"/>
    <w:rsid w:val="00F12E1A"/>
    <w:rsid w:val="00F1390C"/>
    <w:rsid w:val="00F14591"/>
    <w:rsid w:val="00F15B60"/>
    <w:rsid w:val="00F15BAF"/>
    <w:rsid w:val="00F15E3A"/>
    <w:rsid w:val="00F16A65"/>
    <w:rsid w:val="00F259E2"/>
    <w:rsid w:val="00F26FAD"/>
    <w:rsid w:val="00F270F8"/>
    <w:rsid w:val="00F27B88"/>
    <w:rsid w:val="00F27C4C"/>
    <w:rsid w:val="00F3056E"/>
    <w:rsid w:val="00F319B5"/>
    <w:rsid w:val="00F31C4C"/>
    <w:rsid w:val="00F33262"/>
    <w:rsid w:val="00F37653"/>
    <w:rsid w:val="00F37F45"/>
    <w:rsid w:val="00F41BBC"/>
    <w:rsid w:val="00F44FAC"/>
    <w:rsid w:val="00F45097"/>
    <w:rsid w:val="00F46A89"/>
    <w:rsid w:val="00F47918"/>
    <w:rsid w:val="00F47DAE"/>
    <w:rsid w:val="00F51A89"/>
    <w:rsid w:val="00F5618E"/>
    <w:rsid w:val="00F56FC1"/>
    <w:rsid w:val="00F57D81"/>
    <w:rsid w:val="00F57FB0"/>
    <w:rsid w:val="00F631AC"/>
    <w:rsid w:val="00F6326A"/>
    <w:rsid w:val="00F645EA"/>
    <w:rsid w:val="00F67704"/>
    <w:rsid w:val="00F70491"/>
    <w:rsid w:val="00F7781C"/>
    <w:rsid w:val="00F801DB"/>
    <w:rsid w:val="00F824B2"/>
    <w:rsid w:val="00F82D0F"/>
    <w:rsid w:val="00F83111"/>
    <w:rsid w:val="00F839AD"/>
    <w:rsid w:val="00F841AC"/>
    <w:rsid w:val="00F87724"/>
    <w:rsid w:val="00F903C5"/>
    <w:rsid w:val="00F9203B"/>
    <w:rsid w:val="00F9212C"/>
    <w:rsid w:val="00F92E28"/>
    <w:rsid w:val="00F93A16"/>
    <w:rsid w:val="00F94FAF"/>
    <w:rsid w:val="00FA1958"/>
    <w:rsid w:val="00FA2CD7"/>
    <w:rsid w:val="00FA43A4"/>
    <w:rsid w:val="00FA47A2"/>
    <w:rsid w:val="00FA5689"/>
    <w:rsid w:val="00FA7BD0"/>
    <w:rsid w:val="00FA7D54"/>
    <w:rsid w:val="00FB3B68"/>
    <w:rsid w:val="00FB4BDB"/>
    <w:rsid w:val="00FB6270"/>
    <w:rsid w:val="00FB7DF5"/>
    <w:rsid w:val="00FC0465"/>
    <w:rsid w:val="00FC05B0"/>
    <w:rsid w:val="00FC15DD"/>
    <w:rsid w:val="00FC3D99"/>
    <w:rsid w:val="00FC3ECD"/>
    <w:rsid w:val="00FC7154"/>
    <w:rsid w:val="00FD15E3"/>
    <w:rsid w:val="00FD5883"/>
    <w:rsid w:val="00FD5FB7"/>
    <w:rsid w:val="00FD7C52"/>
    <w:rsid w:val="00FE1C42"/>
    <w:rsid w:val="00FE3327"/>
    <w:rsid w:val="00FE5115"/>
    <w:rsid w:val="00FE728E"/>
    <w:rsid w:val="00FF2A9A"/>
    <w:rsid w:val="00FF3D40"/>
    <w:rsid w:val="00FF41A4"/>
    <w:rsid w:val="00FF5537"/>
    <w:rsid w:val="00FF63C9"/>
    <w:rsid w:val="00FF7F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467721"/>
    <w:pPr>
      <w:keepNext/>
      <w:keepLines/>
      <w:numPr>
        <w:numId w:val="1"/>
      </w:numPr>
      <w:pBdr>
        <w:bottom w:val="single" w:sz="4" w:space="1" w:color="000099"/>
      </w:pBdr>
      <w:spacing w:before="360" w:after="240"/>
      <w:ind w:left="567" w:hanging="567"/>
      <w:outlineLvl w:val="0"/>
    </w:pPr>
    <w:rPr>
      <w:rFonts w:eastAsia="Calibri"/>
      <w:b/>
      <w:bCs/>
      <w:color w:val="000099"/>
      <w:sz w:val="36"/>
      <w:szCs w:val="28"/>
    </w:rPr>
  </w:style>
  <w:style w:type="paragraph" w:styleId="Nadpis2">
    <w:name w:val="heading 2"/>
    <w:basedOn w:val="Nadpis1"/>
    <w:next w:val="Normln"/>
    <w:link w:val="Nadpis2Char"/>
    <w:uiPriority w:val="9"/>
    <w:unhideWhenUsed/>
    <w:qFormat/>
    <w:rsid w:val="00665020"/>
    <w:pPr>
      <w:numPr>
        <w:ilvl w:val="1"/>
      </w:numPr>
      <w:pBdr>
        <w:bottom w:val="none" w:sz="0" w:space="0" w:color="auto"/>
      </w:pBdr>
      <w:tabs>
        <w:tab w:val="left" w:pos="709"/>
      </w:tabs>
      <w:spacing w:before="240" w:after="120"/>
      <w:outlineLvl w:val="1"/>
    </w:pPr>
    <w:rPr>
      <w:sz w:val="32"/>
    </w:rPr>
  </w:style>
  <w:style w:type="paragraph" w:styleId="Nadpis3">
    <w:name w:val="heading 3"/>
    <w:basedOn w:val="Normln"/>
    <w:next w:val="Normln"/>
    <w:link w:val="Nadpis3Char"/>
    <w:uiPriority w:val="9"/>
    <w:unhideWhenUsed/>
    <w:qFormat/>
    <w:rsid w:val="007D295E"/>
    <w:pPr>
      <w:numPr>
        <w:ilvl w:val="2"/>
        <w:numId w:val="1"/>
      </w:numPr>
      <w:spacing w:before="240" w:line="276" w:lineRule="auto"/>
      <w:ind w:left="1418" w:hanging="992"/>
      <w:outlineLvl w:val="2"/>
    </w:pPr>
    <w:rPr>
      <w:b/>
      <w:color w:val="000099"/>
      <w:sz w:val="24"/>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Char,Text pozn. pod čarou1,Char Char Char1,Char Char1,o"/>
    <w:basedOn w:val="Normln"/>
    <w:link w:val="TextpoznpodarouChar"/>
    <w:uiPriority w:val="99"/>
    <w:unhideWhenUsed/>
    <w:rsid w:val="00473125"/>
    <w:pPr>
      <w:spacing w:after="0" w:line="240" w:lineRule="auto"/>
      <w:ind w:left="284" w:hanging="284"/>
    </w:pPr>
    <w:rPr>
      <w:sz w:val="16"/>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473125"/>
    <w:rPr>
      <w:rFonts w:ascii="Arial" w:hAnsi="Arial" w:cs="Arial"/>
      <w:sz w:val="16"/>
      <w:szCs w:val="20"/>
      <w:lang w:eastAsia="cs-CZ"/>
    </w:rPr>
  </w:style>
  <w:style w:type="paragraph" w:customStyle="1" w:styleId="TabulkaNOK-zdroj">
    <w:name w:val="Tabulka NOK - zdroj"/>
    <w:basedOn w:val="Textkomente"/>
    <w:link w:val="TabulkaNOK-zdrojChar"/>
    <w:rsid w:val="00FE5115"/>
    <w:rPr>
      <w:sz w:val="16"/>
    </w:rPr>
  </w:style>
  <w:style w:type="character" w:customStyle="1" w:styleId="TabulkaNOK-zdrojChar">
    <w:name w:val="Tabulka NOK - zdroj Char"/>
    <w:basedOn w:val="Standardnpsmoodstavce"/>
    <w:link w:val="TabulkaNOK-zdroj"/>
    <w:rsid w:val="00FE5115"/>
    <w:rPr>
      <w:rFonts w:ascii="Arial" w:eastAsia="Times New Roman" w:hAnsi="Arial" w:cs="Arial"/>
      <w:sz w:val="16"/>
      <w:szCs w:val="16"/>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665020"/>
    <w:rPr>
      <w:rFonts w:ascii="Arial" w:eastAsia="Calibri" w:hAnsi="Arial" w:cs="Arial"/>
      <w:b/>
      <w:bCs/>
      <w:color w:val="000099"/>
      <w:sz w:val="32"/>
      <w:szCs w:val="28"/>
      <w:lang w:eastAsia="cs-CZ"/>
    </w:rPr>
  </w:style>
  <w:style w:type="paragraph" w:styleId="Textkomente">
    <w:name w:val="annotation text"/>
    <w:basedOn w:val="TextNOK"/>
    <w:link w:val="TextkomenteChar"/>
    <w:uiPriority w:val="99"/>
    <w:unhideWhenUsed/>
    <w:rsid w:val="00FE5115"/>
    <w:pPr>
      <w:spacing w:before="60" w:line="240" w:lineRule="auto"/>
    </w:pPr>
    <w:rPr>
      <w:rFonts w:ascii="Arial" w:hAnsi="Arial" w:cs="Arial"/>
      <w:szCs w:val="16"/>
    </w:rPr>
  </w:style>
  <w:style w:type="character" w:customStyle="1" w:styleId="TextkomenteChar">
    <w:name w:val="Text komentáře Char"/>
    <w:basedOn w:val="Standardnpsmoodstavce"/>
    <w:link w:val="Textkomente"/>
    <w:uiPriority w:val="99"/>
    <w:rsid w:val="00FE5115"/>
    <w:rPr>
      <w:rFonts w:ascii="Arial" w:eastAsia="Times New Roman" w:hAnsi="Arial" w:cs="Arial"/>
      <w:sz w:val="20"/>
      <w:szCs w:val="16"/>
      <w:lang w:eastAsia="cs-CZ"/>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F57D81"/>
    <w:pPr>
      <w:tabs>
        <w:tab w:val="left" w:pos="993"/>
        <w:tab w:val="right" w:leader="dot" w:pos="9781"/>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rFonts w:ascii="Arial" w:eastAsia="Times New Roman" w:hAnsi="Arial" w:cs="Arial"/>
      <w:b/>
      <w:bCs/>
      <w:sz w:val="20"/>
      <w:szCs w:val="20"/>
      <w:lang w:eastAsia="cs-CZ"/>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List Paragraph,Odstavec se seznamem2,List Paragraph (Czech Tourism),Odrážky,Odstavec se seznamem1"/>
    <w:basedOn w:val="Normln"/>
    <w:link w:val="OdstavecseseznamemChar"/>
    <w:uiPriority w:val="35"/>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467721"/>
    <w:rPr>
      <w:rFonts w:ascii="Arial" w:eastAsia="Calibri" w:hAnsi="Arial" w:cs="Arial"/>
      <w:b/>
      <w:bCs/>
      <w:color w:val="000099"/>
      <w:sz w:val="36"/>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uiPriority w:val="99"/>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List Paragraph Char,Odstavec se seznamem2 Char,Odrážky Char"/>
    <w:link w:val="Odstavecseseznamem"/>
    <w:uiPriority w:val="34"/>
    <w:qFormat/>
    <w:locked/>
    <w:rsid w:val="00C53D73"/>
    <w:rPr>
      <w:rFonts w:ascii="Calibri" w:hAnsi="Calibri" w:cs="Times New Roman"/>
      <w:lang w:eastAsia="cs-CZ"/>
    </w:rPr>
  </w:style>
  <w:style w:type="paragraph" w:customStyle="1" w:styleId="Titulektabulky">
    <w:name w:val="Titulek tabulky"/>
    <w:aliases w:val="grafu"/>
    <w:basedOn w:val="Normln"/>
    <w:uiPriority w:val="99"/>
    <w:qFormat/>
    <w:rsid w:val="003C36B9"/>
    <w:pPr>
      <w:keepNext/>
      <w:keepLines/>
      <w:spacing w:before="360"/>
      <w:jc w:val="left"/>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uiPriority w:val="99"/>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ED0D42"/>
    <w:pPr>
      <w:tabs>
        <w:tab w:val="left" w:pos="440"/>
        <w:tab w:val="right" w:leader="dot" w:pos="9771"/>
      </w:tabs>
      <w:spacing w:before="240" w:after="100"/>
    </w:pPr>
    <w:rPr>
      <w:smallCaps/>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F57D81"/>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rsid w:val="007D295E"/>
    <w:rPr>
      <w:rFonts w:ascii="Arial" w:hAnsi="Arial" w:cs="Arial"/>
      <w:b/>
      <w:color w:val="000099"/>
      <w:sz w:val="24"/>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numPr>
        <w:numId w:val="2"/>
      </w:numPr>
      <w:pBdr>
        <w:top w:val="nil"/>
        <w:left w:val="nil"/>
        <w:bottom w:val="nil"/>
        <w:right w:val="nil"/>
        <w:between w:val="nil"/>
        <w:bar w:val="nil"/>
      </w:pBdr>
      <w:ind w:left="425" w:hanging="357"/>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F57D81"/>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Obsah3">
    <w:name w:val="toc 3"/>
    <w:basedOn w:val="Normln"/>
    <w:next w:val="Normln"/>
    <w:autoRedefine/>
    <w:uiPriority w:val="39"/>
    <w:unhideWhenUsed/>
    <w:rsid w:val="00AF61F8"/>
    <w:pPr>
      <w:spacing w:after="100"/>
      <w:ind w:left="400"/>
    </w:pPr>
  </w:style>
  <w:style w:type="table" w:customStyle="1" w:styleId="Svtlmkazvraznn51">
    <w:name w:val="Světlá mřížka – zvýraznění 51"/>
    <w:basedOn w:val="Normlntabulka"/>
    <w:next w:val="Svtlmkazvraznn5"/>
    <w:uiPriority w:val="62"/>
    <w:rsid w:val="00EC3F05"/>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ezmezer">
    <w:name w:val="No Spacing"/>
    <w:uiPriority w:val="1"/>
    <w:qFormat/>
    <w:rsid w:val="009C3F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214716">
      <w:bodyDiv w:val="1"/>
      <w:marLeft w:val="0"/>
      <w:marRight w:val="0"/>
      <w:marTop w:val="0"/>
      <w:marBottom w:val="0"/>
      <w:divBdr>
        <w:top w:val="none" w:sz="0" w:space="0" w:color="auto"/>
        <w:left w:val="none" w:sz="0" w:space="0" w:color="auto"/>
        <w:bottom w:val="none" w:sz="0" w:space="0" w:color="auto"/>
        <w:right w:val="none" w:sz="0" w:space="0" w:color="auto"/>
      </w:divBdr>
    </w:div>
    <w:div w:id="173813674">
      <w:bodyDiv w:val="1"/>
      <w:marLeft w:val="0"/>
      <w:marRight w:val="0"/>
      <w:marTop w:val="0"/>
      <w:marBottom w:val="0"/>
      <w:divBdr>
        <w:top w:val="none" w:sz="0" w:space="0" w:color="auto"/>
        <w:left w:val="none" w:sz="0" w:space="0" w:color="auto"/>
        <w:bottom w:val="none" w:sz="0" w:space="0" w:color="auto"/>
        <w:right w:val="none" w:sz="0" w:space="0" w:color="auto"/>
      </w:divBdr>
    </w:div>
    <w:div w:id="175777998">
      <w:bodyDiv w:val="1"/>
      <w:marLeft w:val="0"/>
      <w:marRight w:val="0"/>
      <w:marTop w:val="0"/>
      <w:marBottom w:val="0"/>
      <w:divBdr>
        <w:top w:val="none" w:sz="0" w:space="0" w:color="auto"/>
        <w:left w:val="none" w:sz="0" w:space="0" w:color="auto"/>
        <w:bottom w:val="none" w:sz="0" w:space="0" w:color="auto"/>
        <w:right w:val="none" w:sz="0" w:space="0" w:color="auto"/>
      </w:divBdr>
    </w:div>
    <w:div w:id="209802917">
      <w:bodyDiv w:val="1"/>
      <w:marLeft w:val="0"/>
      <w:marRight w:val="0"/>
      <w:marTop w:val="0"/>
      <w:marBottom w:val="0"/>
      <w:divBdr>
        <w:top w:val="none" w:sz="0" w:space="0" w:color="auto"/>
        <w:left w:val="none" w:sz="0" w:space="0" w:color="auto"/>
        <w:bottom w:val="none" w:sz="0" w:space="0" w:color="auto"/>
        <w:right w:val="none" w:sz="0" w:space="0" w:color="auto"/>
      </w:divBdr>
    </w:div>
    <w:div w:id="352540351">
      <w:bodyDiv w:val="1"/>
      <w:marLeft w:val="0"/>
      <w:marRight w:val="0"/>
      <w:marTop w:val="0"/>
      <w:marBottom w:val="0"/>
      <w:divBdr>
        <w:top w:val="none" w:sz="0" w:space="0" w:color="auto"/>
        <w:left w:val="none" w:sz="0" w:space="0" w:color="auto"/>
        <w:bottom w:val="none" w:sz="0" w:space="0" w:color="auto"/>
        <w:right w:val="none" w:sz="0" w:space="0" w:color="auto"/>
      </w:divBdr>
    </w:div>
    <w:div w:id="395322942">
      <w:bodyDiv w:val="1"/>
      <w:marLeft w:val="0"/>
      <w:marRight w:val="0"/>
      <w:marTop w:val="0"/>
      <w:marBottom w:val="0"/>
      <w:divBdr>
        <w:top w:val="none" w:sz="0" w:space="0" w:color="auto"/>
        <w:left w:val="none" w:sz="0" w:space="0" w:color="auto"/>
        <w:bottom w:val="none" w:sz="0" w:space="0" w:color="auto"/>
        <w:right w:val="none" w:sz="0" w:space="0" w:color="auto"/>
      </w:divBdr>
    </w:div>
    <w:div w:id="409624394">
      <w:bodyDiv w:val="1"/>
      <w:marLeft w:val="0"/>
      <w:marRight w:val="0"/>
      <w:marTop w:val="0"/>
      <w:marBottom w:val="0"/>
      <w:divBdr>
        <w:top w:val="none" w:sz="0" w:space="0" w:color="auto"/>
        <w:left w:val="none" w:sz="0" w:space="0" w:color="auto"/>
        <w:bottom w:val="none" w:sz="0" w:space="0" w:color="auto"/>
        <w:right w:val="none" w:sz="0" w:space="0" w:color="auto"/>
      </w:divBdr>
    </w:div>
    <w:div w:id="433866836">
      <w:bodyDiv w:val="1"/>
      <w:marLeft w:val="0"/>
      <w:marRight w:val="0"/>
      <w:marTop w:val="0"/>
      <w:marBottom w:val="0"/>
      <w:divBdr>
        <w:top w:val="none" w:sz="0" w:space="0" w:color="auto"/>
        <w:left w:val="none" w:sz="0" w:space="0" w:color="auto"/>
        <w:bottom w:val="none" w:sz="0" w:space="0" w:color="auto"/>
        <w:right w:val="none" w:sz="0" w:space="0" w:color="auto"/>
      </w:divBdr>
    </w:div>
    <w:div w:id="458886428">
      <w:bodyDiv w:val="1"/>
      <w:marLeft w:val="0"/>
      <w:marRight w:val="0"/>
      <w:marTop w:val="0"/>
      <w:marBottom w:val="0"/>
      <w:divBdr>
        <w:top w:val="none" w:sz="0" w:space="0" w:color="auto"/>
        <w:left w:val="none" w:sz="0" w:space="0" w:color="auto"/>
        <w:bottom w:val="none" w:sz="0" w:space="0" w:color="auto"/>
        <w:right w:val="none" w:sz="0" w:space="0" w:color="auto"/>
      </w:divBdr>
    </w:div>
    <w:div w:id="478687846">
      <w:bodyDiv w:val="1"/>
      <w:marLeft w:val="0"/>
      <w:marRight w:val="0"/>
      <w:marTop w:val="0"/>
      <w:marBottom w:val="0"/>
      <w:divBdr>
        <w:top w:val="none" w:sz="0" w:space="0" w:color="auto"/>
        <w:left w:val="none" w:sz="0" w:space="0" w:color="auto"/>
        <w:bottom w:val="none" w:sz="0" w:space="0" w:color="auto"/>
        <w:right w:val="none" w:sz="0" w:space="0" w:color="auto"/>
      </w:divBdr>
    </w:div>
    <w:div w:id="497427663">
      <w:bodyDiv w:val="1"/>
      <w:marLeft w:val="0"/>
      <w:marRight w:val="0"/>
      <w:marTop w:val="0"/>
      <w:marBottom w:val="0"/>
      <w:divBdr>
        <w:top w:val="none" w:sz="0" w:space="0" w:color="auto"/>
        <w:left w:val="none" w:sz="0" w:space="0" w:color="auto"/>
        <w:bottom w:val="none" w:sz="0" w:space="0" w:color="auto"/>
        <w:right w:val="none" w:sz="0" w:space="0" w:color="auto"/>
      </w:divBdr>
    </w:div>
    <w:div w:id="603268247">
      <w:bodyDiv w:val="1"/>
      <w:marLeft w:val="0"/>
      <w:marRight w:val="0"/>
      <w:marTop w:val="0"/>
      <w:marBottom w:val="0"/>
      <w:divBdr>
        <w:top w:val="none" w:sz="0" w:space="0" w:color="auto"/>
        <w:left w:val="none" w:sz="0" w:space="0" w:color="auto"/>
        <w:bottom w:val="none" w:sz="0" w:space="0" w:color="auto"/>
        <w:right w:val="none" w:sz="0" w:space="0" w:color="auto"/>
      </w:divBdr>
    </w:div>
    <w:div w:id="647249309">
      <w:bodyDiv w:val="1"/>
      <w:marLeft w:val="0"/>
      <w:marRight w:val="0"/>
      <w:marTop w:val="0"/>
      <w:marBottom w:val="0"/>
      <w:divBdr>
        <w:top w:val="none" w:sz="0" w:space="0" w:color="auto"/>
        <w:left w:val="none" w:sz="0" w:space="0" w:color="auto"/>
        <w:bottom w:val="none" w:sz="0" w:space="0" w:color="auto"/>
        <w:right w:val="none" w:sz="0" w:space="0" w:color="auto"/>
      </w:divBdr>
    </w:div>
    <w:div w:id="844325013">
      <w:bodyDiv w:val="1"/>
      <w:marLeft w:val="0"/>
      <w:marRight w:val="0"/>
      <w:marTop w:val="0"/>
      <w:marBottom w:val="0"/>
      <w:divBdr>
        <w:top w:val="none" w:sz="0" w:space="0" w:color="auto"/>
        <w:left w:val="none" w:sz="0" w:space="0" w:color="auto"/>
        <w:bottom w:val="none" w:sz="0" w:space="0" w:color="auto"/>
        <w:right w:val="none" w:sz="0" w:space="0" w:color="auto"/>
      </w:divBdr>
    </w:div>
    <w:div w:id="911161176">
      <w:bodyDiv w:val="1"/>
      <w:marLeft w:val="0"/>
      <w:marRight w:val="0"/>
      <w:marTop w:val="0"/>
      <w:marBottom w:val="0"/>
      <w:divBdr>
        <w:top w:val="none" w:sz="0" w:space="0" w:color="auto"/>
        <w:left w:val="none" w:sz="0" w:space="0" w:color="auto"/>
        <w:bottom w:val="none" w:sz="0" w:space="0" w:color="auto"/>
        <w:right w:val="none" w:sz="0" w:space="0" w:color="auto"/>
      </w:divBdr>
    </w:div>
    <w:div w:id="953900953">
      <w:bodyDiv w:val="1"/>
      <w:marLeft w:val="0"/>
      <w:marRight w:val="0"/>
      <w:marTop w:val="0"/>
      <w:marBottom w:val="0"/>
      <w:divBdr>
        <w:top w:val="none" w:sz="0" w:space="0" w:color="auto"/>
        <w:left w:val="none" w:sz="0" w:space="0" w:color="auto"/>
        <w:bottom w:val="none" w:sz="0" w:space="0" w:color="auto"/>
        <w:right w:val="none" w:sz="0" w:space="0" w:color="auto"/>
      </w:divBdr>
    </w:div>
    <w:div w:id="980187516">
      <w:bodyDiv w:val="1"/>
      <w:marLeft w:val="0"/>
      <w:marRight w:val="0"/>
      <w:marTop w:val="0"/>
      <w:marBottom w:val="0"/>
      <w:divBdr>
        <w:top w:val="none" w:sz="0" w:space="0" w:color="auto"/>
        <w:left w:val="none" w:sz="0" w:space="0" w:color="auto"/>
        <w:bottom w:val="none" w:sz="0" w:space="0" w:color="auto"/>
        <w:right w:val="none" w:sz="0" w:space="0" w:color="auto"/>
      </w:divBdr>
    </w:div>
    <w:div w:id="988247823">
      <w:bodyDiv w:val="1"/>
      <w:marLeft w:val="0"/>
      <w:marRight w:val="0"/>
      <w:marTop w:val="0"/>
      <w:marBottom w:val="0"/>
      <w:divBdr>
        <w:top w:val="none" w:sz="0" w:space="0" w:color="auto"/>
        <w:left w:val="none" w:sz="0" w:space="0" w:color="auto"/>
        <w:bottom w:val="none" w:sz="0" w:space="0" w:color="auto"/>
        <w:right w:val="none" w:sz="0" w:space="0" w:color="auto"/>
      </w:divBdr>
    </w:div>
    <w:div w:id="1050694319">
      <w:bodyDiv w:val="1"/>
      <w:marLeft w:val="0"/>
      <w:marRight w:val="0"/>
      <w:marTop w:val="0"/>
      <w:marBottom w:val="0"/>
      <w:divBdr>
        <w:top w:val="none" w:sz="0" w:space="0" w:color="auto"/>
        <w:left w:val="none" w:sz="0" w:space="0" w:color="auto"/>
        <w:bottom w:val="none" w:sz="0" w:space="0" w:color="auto"/>
        <w:right w:val="none" w:sz="0" w:space="0" w:color="auto"/>
      </w:divBdr>
    </w:div>
    <w:div w:id="1054350168">
      <w:bodyDiv w:val="1"/>
      <w:marLeft w:val="0"/>
      <w:marRight w:val="0"/>
      <w:marTop w:val="0"/>
      <w:marBottom w:val="0"/>
      <w:divBdr>
        <w:top w:val="none" w:sz="0" w:space="0" w:color="auto"/>
        <w:left w:val="none" w:sz="0" w:space="0" w:color="auto"/>
        <w:bottom w:val="none" w:sz="0" w:space="0" w:color="auto"/>
        <w:right w:val="none" w:sz="0" w:space="0" w:color="auto"/>
      </w:divBdr>
    </w:div>
    <w:div w:id="1196427391">
      <w:bodyDiv w:val="1"/>
      <w:marLeft w:val="0"/>
      <w:marRight w:val="0"/>
      <w:marTop w:val="0"/>
      <w:marBottom w:val="0"/>
      <w:divBdr>
        <w:top w:val="none" w:sz="0" w:space="0" w:color="auto"/>
        <w:left w:val="none" w:sz="0" w:space="0" w:color="auto"/>
        <w:bottom w:val="none" w:sz="0" w:space="0" w:color="auto"/>
        <w:right w:val="none" w:sz="0" w:space="0" w:color="auto"/>
      </w:divBdr>
    </w:div>
    <w:div w:id="1235625742">
      <w:bodyDiv w:val="1"/>
      <w:marLeft w:val="0"/>
      <w:marRight w:val="0"/>
      <w:marTop w:val="0"/>
      <w:marBottom w:val="0"/>
      <w:divBdr>
        <w:top w:val="none" w:sz="0" w:space="0" w:color="auto"/>
        <w:left w:val="none" w:sz="0" w:space="0" w:color="auto"/>
        <w:bottom w:val="none" w:sz="0" w:space="0" w:color="auto"/>
        <w:right w:val="none" w:sz="0" w:space="0" w:color="auto"/>
      </w:divBdr>
    </w:div>
    <w:div w:id="1365132752">
      <w:bodyDiv w:val="1"/>
      <w:marLeft w:val="0"/>
      <w:marRight w:val="0"/>
      <w:marTop w:val="0"/>
      <w:marBottom w:val="0"/>
      <w:divBdr>
        <w:top w:val="none" w:sz="0" w:space="0" w:color="auto"/>
        <w:left w:val="none" w:sz="0" w:space="0" w:color="auto"/>
        <w:bottom w:val="none" w:sz="0" w:space="0" w:color="auto"/>
        <w:right w:val="none" w:sz="0" w:space="0" w:color="auto"/>
      </w:divBdr>
    </w:div>
    <w:div w:id="1494301390">
      <w:bodyDiv w:val="1"/>
      <w:marLeft w:val="0"/>
      <w:marRight w:val="0"/>
      <w:marTop w:val="0"/>
      <w:marBottom w:val="0"/>
      <w:divBdr>
        <w:top w:val="none" w:sz="0" w:space="0" w:color="auto"/>
        <w:left w:val="none" w:sz="0" w:space="0" w:color="auto"/>
        <w:bottom w:val="none" w:sz="0" w:space="0" w:color="auto"/>
        <w:right w:val="none" w:sz="0" w:space="0" w:color="auto"/>
      </w:divBdr>
    </w:div>
    <w:div w:id="1517038866">
      <w:bodyDiv w:val="1"/>
      <w:marLeft w:val="0"/>
      <w:marRight w:val="0"/>
      <w:marTop w:val="0"/>
      <w:marBottom w:val="0"/>
      <w:divBdr>
        <w:top w:val="none" w:sz="0" w:space="0" w:color="auto"/>
        <w:left w:val="none" w:sz="0" w:space="0" w:color="auto"/>
        <w:bottom w:val="none" w:sz="0" w:space="0" w:color="auto"/>
        <w:right w:val="none" w:sz="0" w:space="0" w:color="auto"/>
      </w:divBdr>
    </w:div>
    <w:div w:id="1517428103">
      <w:bodyDiv w:val="1"/>
      <w:marLeft w:val="0"/>
      <w:marRight w:val="0"/>
      <w:marTop w:val="0"/>
      <w:marBottom w:val="0"/>
      <w:divBdr>
        <w:top w:val="none" w:sz="0" w:space="0" w:color="auto"/>
        <w:left w:val="none" w:sz="0" w:space="0" w:color="auto"/>
        <w:bottom w:val="none" w:sz="0" w:space="0" w:color="auto"/>
        <w:right w:val="none" w:sz="0" w:space="0" w:color="auto"/>
      </w:divBdr>
    </w:div>
    <w:div w:id="1549220244">
      <w:bodyDiv w:val="1"/>
      <w:marLeft w:val="0"/>
      <w:marRight w:val="0"/>
      <w:marTop w:val="0"/>
      <w:marBottom w:val="0"/>
      <w:divBdr>
        <w:top w:val="none" w:sz="0" w:space="0" w:color="auto"/>
        <w:left w:val="none" w:sz="0" w:space="0" w:color="auto"/>
        <w:bottom w:val="none" w:sz="0" w:space="0" w:color="auto"/>
        <w:right w:val="none" w:sz="0" w:space="0" w:color="auto"/>
      </w:divBdr>
    </w:div>
    <w:div w:id="1563062308">
      <w:bodyDiv w:val="1"/>
      <w:marLeft w:val="0"/>
      <w:marRight w:val="0"/>
      <w:marTop w:val="0"/>
      <w:marBottom w:val="0"/>
      <w:divBdr>
        <w:top w:val="none" w:sz="0" w:space="0" w:color="auto"/>
        <w:left w:val="none" w:sz="0" w:space="0" w:color="auto"/>
        <w:bottom w:val="none" w:sz="0" w:space="0" w:color="auto"/>
        <w:right w:val="none" w:sz="0" w:space="0" w:color="auto"/>
      </w:divBdr>
    </w:div>
    <w:div w:id="1577787940">
      <w:bodyDiv w:val="1"/>
      <w:marLeft w:val="0"/>
      <w:marRight w:val="0"/>
      <w:marTop w:val="0"/>
      <w:marBottom w:val="0"/>
      <w:divBdr>
        <w:top w:val="none" w:sz="0" w:space="0" w:color="auto"/>
        <w:left w:val="none" w:sz="0" w:space="0" w:color="auto"/>
        <w:bottom w:val="none" w:sz="0" w:space="0" w:color="auto"/>
        <w:right w:val="none" w:sz="0" w:space="0" w:color="auto"/>
      </w:divBdr>
    </w:div>
    <w:div w:id="1735197463">
      <w:bodyDiv w:val="1"/>
      <w:marLeft w:val="0"/>
      <w:marRight w:val="0"/>
      <w:marTop w:val="0"/>
      <w:marBottom w:val="0"/>
      <w:divBdr>
        <w:top w:val="none" w:sz="0" w:space="0" w:color="auto"/>
        <w:left w:val="none" w:sz="0" w:space="0" w:color="auto"/>
        <w:bottom w:val="none" w:sz="0" w:space="0" w:color="auto"/>
        <w:right w:val="none" w:sz="0" w:space="0" w:color="auto"/>
      </w:divBdr>
    </w:div>
    <w:div w:id="1744177740">
      <w:bodyDiv w:val="1"/>
      <w:marLeft w:val="0"/>
      <w:marRight w:val="0"/>
      <w:marTop w:val="0"/>
      <w:marBottom w:val="0"/>
      <w:divBdr>
        <w:top w:val="none" w:sz="0" w:space="0" w:color="auto"/>
        <w:left w:val="none" w:sz="0" w:space="0" w:color="auto"/>
        <w:bottom w:val="none" w:sz="0" w:space="0" w:color="auto"/>
        <w:right w:val="none" w:sz="0" w:space="0" w:color="auto"/>
      </w:divBdr>
    </w:div>
    <w:div w:id="1786652552">
      <w:bodyDiv w:val="1"/>
      <w:marLeft w:val="0"/>
      <w:marRight w:val="0"/>
      <w:marTop w:val="0"/>
      <w:marBottom w:val="0"/>
      <w:divBdr>
        <w:top w:val="none" w:sz="0" w:space="0" w:color="auto"/>
        <w:left w:val="none" w:sz="0" w:space="0" w:color="auto"/>
        <w:bottom w:val="none" w:sz="0" w:space="0" w:color="auto"/>
        <w:right w:val="none" w:sz="0" w:space="0" w:color="auto"/>
      </w:divBdr>
    </w:div>
    <w:div w:id="1791245941">
      <w:bodyDiv w:val="1"/>
      <w:marLeft w:val="0"/>
      <w:marRight w:val="0"/>
      <w:marTop w:val="0"/>
      <w:marBottom w:val="0"/>
      <w:divBdr>
        <w:top w:val="none" w:sz="0" w:space="0" w:color="auto"/>
        <w:left w:val="none" w:sz="0" w:space="0" w:color="auto"/>
        <w:bottom w:val="none" w:sz="0" w:space="0" w:color="auto"/>
        <w:right w:val="none" w:sz="0" w:space="0" w:color="auto"/>
      </w:divBdr>
    </w:div>
    <w:div w:id="1818915385">
      <w:bodyDiv w:val="1"/>
      <w:marLeft w:val="0"/>
      <w:marRight w:val="0"/>
      <w:marTop w:val="0"/>
      <w:marBottom w:val="0"/>
      <w:divBdr>
        <w:top w:val="none" w:sz="0" w:space="0" w:color="auto"/>
        <w:left w:val="none" w:sz="0" w:space="0" w:color="auto"/>
        <w:bottom w:val="none" w:sz="0" w:space="0" w:color="auto"/>
        <w:right w:val="none" w:sz="0" w:space="0" w:color="auto"/>
      </w:divBdr>
    </w:div>
    <w:div w:id="1834492826">
      <w:bodyDiv w:val="1"/>
      <w:marLeft w:val="0"/>
      <w:marRight w:val="0"/>
      <w:marTop w:val="0"/>
      <w:marBottom w:val="0"/>
      <w:divBdr>
        <w:top w:val="none" w:sz="0" w:space="0" w:color="auto"/>
        <w:left w:val="none" w:sz="0" w:space="0" w:color="auto"/>
        <w:bottom w:val="none" w:sz="0" w:space="0" w:color="auto"/>
        <w:right w:val="none" w:sz="0" w:space="0" w:color="auto"/>
      </w:divBdr>
    </w:div>
    <w:div w:id="1954484309">
      <w:bodyDiv w:val="1"/>
      <w:marLeft w:val="0"/>
      <w:marRight w:val="0"/>
      <w:marTop w:val="0"/>
      <w:marBottom w:val="0"/>
      <w:divBdr>
        <w:top w:val="none" w:sz="0" w:space="0" w:color="auto"/>
        <w:left w:val="none" w:sz="0" w:space="0" w:color="auto"/>
        <w:bottom w:val="none" w:sz="0" w:space="0" w:color="auto"/>
        <w:right w:val="none" w:sz="0" w:space="0" w:color="auto"/>
      </w:divBdr>
    </w:div>
    <w:div w:id="2015062821">
      <w:bodyDiv w:val="1"/>
      <w:marLeft w:val="0"/>
      <w:marRight w:val="0"/>
      <w:marTop w:val="0"/>
      <w:marBottom w:val="0"/>
      <w:divBdr>
        <w:top w:val="none" w:sz="0" w:space="0" w:color="auto"/>
        <w:left w:val="none" w:sz="0" w:space="0" w:color="auto"/>
        <w:bottom w:val="none" w:sz="0" w:space="0" w:color="auto"/>
        <w:right w:val="none" w:sz="0" w:space="0" w:color="auto"/>
      </w:divBdr>
    </w:div>
    <w:div w:id="2072341639">
      <w:bodyDiv w:val="1"/>
      <w:marLeft w:val="0"/>
      <w:marRight w:val="0"/>
      <w:marTop w:val="0"/>
      <w:marBottom w:val="0"/>
      <w:divBdr>
        <w:top w:val="none" w:sz="0" w:space="0" w:color="auto"/>
        <w:left w:val="none" w:sz="0" w:space="0" w:color="auto"/>
        <w:bottom w:val="none" w:sz="0" w:space="0" w:color="auto"/>
        <w:right w:val="none" w:sz="0" w:space="0" w:color="auto"/>
      </w:divBdr>
    </w:div>
    <w:div w:id="2121797214">
      <w:bodyDiv w:val="1"/>
      <w:marLeft w:val="0"/>
      <w:marRight w:val="0"/>
      <w:marTop w:val="0"/>
      <w:marBottom w:val="0"/>
      <w:divBdr>
        <w:top w:val="none" w:sz="0" w:space="0" w:color="auto"/>
        <w:left w:val="none" w:sz="0" w:space="0" w:color="auto"/>
        <w:bottom w:val="none" w:sz="0" w:space="0" w:color="auto"/>
        <w:right w:val="none" w:sz="0" w:space="0" w:color="auto"/>
      </w:divBdr>
    </w:div>
    <w:div w:id="2134781852">
      <w:bodyDiv w:val="1"/>
      <w:marLeft w:val="0"/>
      <w:marRight w:val="0"/>
      <w:marTop w:val="0"/>
      <w:marBottom w:val="0"/>
      <w:divBdr>
        <w:top w:val="none" w:sz="0" w:space="0" w:color="auto"/>
        <w:left w:val="none" w:sz="0" w:space="0" w:color="auto"/>
        <w:bottom w:val="none" w:sz="0" w:space="0" w:color="auto"/>
        <w:right w:val="none" w:sz="0" w:space="0" w:color="auto"/>
      </w:divBdr>
    </w:div>
    <w:div w:id="21464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1594-EDA7-46AF-BAD3-FBEB04CD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9481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Picková</dc:creator>
  <cp:lastModifiedBy>OSPZV3 ospzv3</cp:lastModifiedBy>
  <cp:revision>2</cp:revision>
  <cp:lastPrinted>2018-06-28T07:01:00Z</cp:lastPrinted>
  <dcterms:created xsi:type="dcterms:W3CDTF">2018-06-28T07:02:00Z</dcterms:created>
  <dcterms:modified xsi:type="dcterms:W3CDTF">2018-06-28T07:02:00Z</dcterms:modified>
  <cp:version>1</cp:version>
</cp:coreProperties>
</file>